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jc w:val="center"/>
        <w:rPr>
          <w:b w:val="1"/>
        </w:rPr>
      </w:pPr>
      <w:bookmarkStart w:colFirst="0" w:colLast="0" w:name="_heading=h.gjdgxs" w:id="0"/>
      <w:bookmarkEnd w:id="0"/>
      <w:r w:rsidDel="00000000" w:rsidR="00000000" w:rsidRPr="00000000">
        <w:rPr>
          <w:b w:val="1"/>
          <w:rtl w:val="0"/>
        </w:rPr>
        <w:t xml:space="preserve">THE REGIONAL ENVIRONMENTAL CENTRE FOR THE CAUCAUS</w:t>
      </w:r>
    </w:p>
    <w:p w:rsidR="00000000" w:rsidDel="00000000" w:rsidP="00000000" w:rsidRDefault="00000000" w:rsidRPr="00000000" w14:paraId="00000002">
      <w:pPr>
        <w:spacing w:line="276" w:lineRule="auto"/>
        <w:jc w:val="center"/>
        <w:rPr>
          <w:b w:val="1"/>
          <w:color w:val="000000"/>
          <w:sz w:val="24"/>
          <w:szCs w:val="24"/>
        </w:rPr>
      </w:pPr>
      <w:r w:rsidDel="00000000" w:rsidR="00000000" w:rsidRPr="00000000">
        <w:rPr>
          <w:rtl w:val="0"/>
        </w:rPr>
      </w:r>
    </w:p>
    <w:p w:rsidR="00000000" w:rsidDel="00000000" w:rsidP="00000000" w:rsidRDefault="00000000" w:rsidRPr="00000000" w14:paraId="00000003">
      <w:pPr>
        <w:spacing w:line="276" w:lineRule="auto"/>
        <w:jc w:val="center"/>
        <w:rPr>
          <w:b w:val="1"/>
          <w:color w:val="000000"/>
          <w:sz w:val="24"/>
          <w:szCs w:val="24"/>
        </w:rPr>
      </w:pPr>
      <w:r w:rsidDel="00000000" w:rsidR="00000000" w:rsidRPr="00000000">
        <w:rPr>
          <w:b w:val="1"/>
          <w:color w:val="000000"/>
          <w:sz w:val="24"/>
          <w:szCs w:val="24"/>
          <w:rtl w:val="0"/>
        </w:rPr>
        <w:t xml:space="preserve">Terms </w:t>
      </w:r>
      <w:r w:rsidDel="00000000" w:rsidR="00000000" w:rsidRPr="00000000">
        <w:rPr>
          <w:b w:val="1"/>
          <w:sz w:val="24"/>
          <w:szCs w:val="24"/>
          <w:rtl w:val="0"/>
        </w:rPr>
        <w:t xml:space="preserve">o</w:t>
      </w:r>
      <w:r w:rsidDel="00000000" w:rsidR="00000000" w:rsidRPr="00000000">
        <w:rPr>
          <w:b w:val="1"/>
          <w:color w:val="000000"/>
          <w:sz w:val="24"/>
          <w:szCs w:val="24"/>
          <w:rtl w:val="0"/>
        </w:rPr>
        <w:t xml:space="preserve">f Reference for Consultancy Services of National Legal Expert for Drafting and Enhancing Legal Documents for the Establishment of Institutional, Governance and Coordination Structures for </w:t>
      </w:r>
      <w:r w:rsidDel="00000000" w:rsidR="00000000" w:rsidRPr="00000000">
        <w:rPr>
          <w:b w:val="1"/>
          <w:sz w:val="24"/>
          <w:szCs w:val="24"/>
          <w:rtl w:val="0"/>
        </w:rPr>
        <w:t xml:space="preserve">t</w:t>
      </w:r>
      <w:r w:rsidDel="00000000" w:rsidR="00000000" w:rsidRPr="00000000">
        <w:rPr>
          <w:b w:val="1"/>
          <w:color w:val="000000"/>
          <w:sz w:val="24"/>
          <w:szCs w:val="24"/>
          <w:rtl w:val="0"/>
        </w:rPr>
        <w:t xml:space="preserve">he Three Alazani Rivers Biosphere Reserve</w:t>
      </w:r>
    </w:p>
    <w:p w:rsidR="00000000" w:rsidDel="00000000" w:rsidP="00000000" w:rsidRDefault="00000000" w:rsidRPr="00000000" w14:paraId="00000004">
      <w:pPr>
        <w:ind w:left="-112" w:firstLine="0"/>
        <w:rPr/>
      </w:pPr>
      <w:bookmarkStart w:colFirst="0" w:colLast="0" w:name="_heading=h.30j0zll" w:id="1"/>
      <w:bookmarkEnd w:id="1"/>
      <w:r w:rsidDel="00000000" w:rsidR="00000000" w:rsidRPr="00000000">
        <w:rPr>
          <w:i w:val="1"/>
          <w:sz w:val="24"/>
          <w:szCs w:val="24"/>
          <w:rtl w:val="0"/>
        </w:rPr>
        <w:t xml:space="preserve">Publication Reference Number:</w:t>
      </w:r>
      <w:r w:rsidDel="00000000" w:rsidR="00000000" w:rsidRPr="00000000">
        <w:rPr>
          <w:sz w:val="24"/>
          <w:szCs w:val="24"/>
          <w:rtl w:val="0"/>
        </w:rPr>
        <w:t xml:space="preserve"> </w:t>
      </w:r>
      <w:r w:rsidDel="00000000" w:rsidR="00000000" w:rsidRPr="00000000">
        <w:rPr>
          <w:rtl w:val="0"/>
        </w:rPr>
        <w:t xml:space="preserve">062/RECC/G/GIZ - 2023-EA-2.8</w:t>
      </w:r>
    </w:p>
    <w:tbl>
      <w:tblPr>
        <w:tblStyle w:val="Table1"/>
        <w:tblW w:w="9016.0" w:type="dxa"/>
        <w:jc w:val="left"/>
        <w:tblInd w:w="-112.0" w:type="dxa"/>
        <w:tblBorders>
          <w:top w:color="000000" w:space="0" w:sz="4" w:val="single"/>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508"/>
        <w:gridCol w:w="4508"/>
        <w:tblGridChange w:id="0">
          <w:tblGrid>
            <w:gridCol w:w="4508"/>
            <w:gridCol w:w="4508"/>
          </w:tblGrid>
        </w:tblGridChange>
      </w:tblGrid>
      <w:tr>
        <w:trPr>
          <w:cantSplit w:val="0"/>
          <w:tblHeader w:val="0"/>
        </w:trPr>
        <w:tc>
          <w:tcPr>
            <w:gridSpan w:val="2"/>
            <w:tcBorders>
              <w:bottom w:color="000000" w:space="0" w:sz="4" w:val="single"/>
            </w:tcBorders>
          </w:tcPr>
          <w:p w:rsidR="00000000" w:rsidDel="00000000" w:rsidP="00000000" w:rsidRDefault="00000000" w:rsidRPr="00000000" w14:paraId="00000005">
            <w:pPr>
              <w:rPr>
                <w:rFonts w:ascii="Calibri" w:cs="Calibri" w:eastAsia="Calibri" w:hAnsi="Calibri"/>
              </w:rPr>
            </w:pPr>
            <w:r w:rsidDel="00000000" w:rsidR="00000000" w:rsidRPr="00000000">
              <w:rPr>
                <w:rFonts w:ascii="Calibri" w:cs="Calibri" w:eastAsia="Calibri" w:hAnsi="Calibri"/>
                <w:b w:val="1"/>
                <w:rtl w:val="0"/>
              </w:rPr>
              <w:t xml:space="preserve">Contract Title</w:t>
            </w:r>
            <w:r w:rsidDel="00000000" w:rsidR="00000000" w:rsidRPr="00000000">
              <w:rPr>
                <w:rFonts w:ascii="Calibri" w:cs="Calibri" w:eastAsia="Calibri" w:hAnsi="Calibri"/>
                <w:rtl w:val="0"/>
              </w:rPr>
              <w:t xml:space="preserve">: Consultancy Service of National Legal Expert for Drafting and Enhancing Legal Documents for the Establishment of Institutional, Governance and Coordination Structures for The Three Alazani Rivers Biosphere Reserve</w:t>
            </w:r>
          </w:p>
        </w:tc>
      </w:tr>
      <w:tr>
        <w:trPr>
          <w:cantSplit w:val="0"/>
          <w:tblHeader w:val="0"/>
        </w:trPr>
        <w:tc>
          <w:tcPr>
            <w:gridSpan w:val="2"/>
            <w:tcBorders>
              <w:top w:color="000000" w:space="0" w:sz="4" w:val="single"/>
              <w:bottom w:color="000000" w:space="0" w:sz="4" w:val="single"/>
            </w:tcBorders>
          </w:tcPr>
          <w:p w:rsidR="00000000" w:rsidDel="00000000" w:rsidP="00000000" w:rsidRDefault="00000000" w:rsidRPr="00000000" w14:paraId="00000007">
            <w:pPr>
              <w:rPr>
                <w:rFonts w:ascii="Calibri" w:cs="Calibri" w:eastAsia="Calibri" w:hAnsi="Calibri"/>
              </w:rPr>
            </w:pPr>
            <w:r w:rsidDel="00000000" w:rsidR="00000000" w:rsidRPr="00000000">
              <w:rPr>
                <w:rFonts w:ascii="Calibri" w:cs="Calibri" w:eastAsia="Calibri" w:hAnsi="Calibri"/>
                <w:b w:val="1"/>
                <w:rtl w:val="0"/>
              </w:rPr>
              <w:t xml:space="preserve">Contract Type:</w:t>
            </w:r>
            <w:r w:rsidDel="00000000" w:rsidR="00000000" w:rsidRPr="00000000">
              <w:rPr>
                <w:rFonts w:ascii="Calibri" w:cs="Calibri" w:eastAsia="Calibri" w:hAnsi="Calibri"/>
                <w:rtl w:val="0"/>
              </w:rPr>
              <w:t xml:space="preserve"> Fee-based</w:t>
            </w:r>
          </w:p>
        </w:tc>
      </w:tr>
      <w:tr>
        <w:trPr>
          <w:cantSplit w:val="0"/>
          <w:tblHeader w:val="0"/>
        </w:trPr>
        <w:tc>
          <w:tcPr>
            <w:gridSpan w:val="2"/>
            <w:tcBorders>
              <w:top w:color="000000" w:space="0" w:sz="4" w:val="single"/>
              <w:bottom w:color="000000" w:space="0" w:sz="4" w:val="single"/>
            </w:tcBorders>
          </w:tcPr>
          <w:p w:rsidR="00000000" w:rsidDel="00000000" w:rsidP="00000000" w:rsidRDefault="00000000" w:rsidRPr="00000000" w14:paraId="00000009">
            <w:pPr>
              <w:rPr>
                <w:rFonts w:ascii="Calibri" w:cs="Calibri" w:eastAsia="Calibri" w:hAnsi="Calibri"/>
              </w:rPr>
            </w:pPr>
            <w:bookmarkStart w:colFirst="0" w:colLast="0" w:name="_heading=h.1fob9te" w:id="2"/>
            <w:bookmarkEnd w:id="2"/>
            <w:r w:rsidDel="00000000" w:rsidR="00000000" w:rsidRPr="00000000">
              <w:rPr>
                <w:rFonts w:ascii="Calibri" w:cs="Calibri" w:eastAsia="Calibri" w:hAnsi="Calibri"/>
                <w:b w:val="1"/>
                <w:rtl w:val="0"/>
              </w:rPr>
              <w:t xml:space="preserve">Programme/Project Number:</w:t>
            </w:r>
            <w:r w:rsidDel="00000000" w:rsidR="00000000" w:rsidRPr="00000000">
              <w:rPr>
                <w:rFonts w:ascii="Calibri" w:cs="Calibri" w:eastAsia="Calibri" w:hAnsi="Calibri"/>
                <w:rtl w:val="0"/>
              </w:rPr>
              <w:t xml:space="preserve"> Biosphere Reserves as Model Regions for Sustainable Development – Capacity Development for Coordinated and Effective Management of the Three Alazani Rivers Biosphere Reserve in Georgia (GIZ Project ID: 81298302 / Project Symbol: 062/RECC/G/GIZ - 2023-EA)</w:t>
            </w:r>
          </w:p>
        </w:tc>
      </w:tr>
      <w:tr>
        <w:trPr>
          <w:cantSplit w:val="0"/>
          <w:tblHeader w:val="0"/>
        </w:trPr>
        <w:tc>
          <w:tcPr>
            <w:gridSpan w:val="2"/>
            <w:tcBorders>
              <w:top w:color="000000" w:space="0" w:sz="4" w:val="single"/>
              <w:bottom w:color="000000" w:space="0" w:sz="4" w:val="single"/>
            </w:tcBorders>
          </w:tcPr>
          <w:p w:rsidR="00000000" w:rsidDel="00000000" w:rsidP="00000000" w:rsidRDefault="00000000" w:rsidRPr="00000000" w14:paraId="0000000B">
            <w:pPr>
              <w:rPr>
                <w:rFonts w:ascii="Calibri" w:cs="Calibri" w:eastAsia="Calibri" w:hAnsi="Calibri"/>
              </w:rPr>
            </w:pPr>
            <w:r w:rsidDel="00000000" w:rsidR="00000000" w:rsidRPr="00000000">
              <w:rPr>
                <w:rFonts w:ascii="Calibri" w:cs="Calibri" w:eastAsia="Calibri" w:hAnsi="Calibri"/>
                <w:b w:val="1"/>
                <w:rtl w:val="0"/>
              </w:rPr>
              <w:t xml:space="preserve">Duty Station:</w:t>
            </w:r>
            <w:r w:rsidDel="00000000" w:rsidR="00000000" w:rsidRPr="00000000">
              <w:rPr>
                <w:rFonts w:ascii="Calibri" w:cs="Calibri" w:eastAsia="Calibri" w:hAnsi="Calibri"/>
                <w:rtl w:val="0"/>
              </w:rPr>
              <w:t xml:space="preserve"> Tbilisi, Georgia</w:t>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00D">
            <w:pPr>
              <w:rPr>
                <w:rFonts w:ascii="Calibri" w:cs="Calibri" w:eastAsia="Calibri" w:hAnsi="Calibri"/>
                <w:b w:val="1"/>
              </w:rPr>
            </w:pPr>
            <w:r w:rsidDel="00000000" w:rsidR="00000000" w:rsidRPr="00000000">
              <w:rPr>
                <w:rFonts w:ascii="Calibri" w:cs="Calibri" w:eastAsia="Calibri" w:hAnsi="Calibri"/>
                <w:b w:val="1"/>
                <w:rtl w:val="0"/>
              </w:rPr>
              <w:t xml:space="preserve">Expected Start Date of Assignment:</w:t>
            </w:r>
          </w:p>
        </w:tc>
        <w:tc>
          <w:tcPr>
            <w:tcBorders>
              <w:top w:color="000000" w:space="0" w:sz="4" w:val="single"/>
              <w:bottom w:color="000000" w:space="0" w:sz="4" w:val="single"/>
            </w:tcBorders>
          </w:tcPr>
          <w:p w:rsidR="00000000" w:rsidDel="00000000" w:rsidP="00000000" w:rsidRDefault="00000000" w:rsidRPr="00000000" w14:paraId="0000000E">
            <w:pPr>
              <w:rPr>
                <w:rFonts w:ascii="Calibri" w:cs="Calibri" w:eastAsia="Calibri" w:hAnsi="Calibri"/>
              </w:rPr>
            </w:pPr>
            <w:r w:rsidDel="00000000" w:rsidR="00000000" w:rsidRPr="00000000">
              <w:rPr>
                <w:rFonts w:ascii="Calibri" w:cs="Calibri" w:eastAsia="Calibri" w:hAnsi="Calibri"/>
                <w:b w:val="1"/>
                <w:rtl w:val="0"/>
              </w:rPr>
              <w:t xml:space="preserve">Duration:</w:t>
            </w:r>
            <w:r w:rsidDel="00000000" w:rsidR="00000000" w:rsidRPr="00000000">
              <w:rPr>
                <w:rFonts w:ascii="Calibri" w:cs="Calibri" w:eastAsia="Calibri" w:hAnsi="Calibri"/>
                <w:rtl w:val="0"/>
              </w:rPr>
              <w:t xml:space="preserve"> 3 months up to 28 June 2024</w:t>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00F">
            <w:pPr>
              <w:rPr>
                <w:rFonts w:ascii="Calibri" w:cs="Calibri" w:eastAsia="Calibri" w:hAnsi="Calibri"/>
              </w:rPr>
            </w:pPr>
            <w:r w:rsidDel="00000000" w:rsidR="00000000" w:rsidRPr="00000000">
              <w:rPr>
                <w:rFonts w:ascii="Calibri" w:cs="Calibri" w:eastAsia="Calibri" w:hAnsi="Calibri"/>
                <w:b w:val="1"/>
                <w:rtl w:val="0"/>
              </w:rPr>
              <w:t xml:space="preserve">Reports to:</w:t>
            </w:r>
            <w:r w:rsidDel="00000000" w:rsidR="00000000" w:rsidRPr="00000000">
              <w:rPr>
                <w:rFonts w:ascii="Calibri" w:cs="Calibri" w:eastAsia="Calibri" w:hAnsi="Calibri"/>
                <w:rtl w:val="0"/>
              </w:rPr>
              <w:t xml:space="preserve"> Sophiko Akhobadze</w:t>
            </w:r>
          </w:p>
        </w:tc>
        <w:tc>
          <w:tcPr>
            <w:tcBorders>
              <w:top w:color="000000" w:space="0" w:sz="4" w:val="single"/>
              <w:bottom w:color="000000" w:space="0" w:sz="4" w:val="single"/>
            </w:tcBorders>
          </w:tcPr>
          <w:p w:rsidR="00000000" w:rsidDel="00000000" w:rsidP="00000000" w:rsidRDefault="00000000" w:rsidRPr="00000000" w14:paraId="00000010">
            <w:pPr>
              <w:rPr>
                <w:rFonts w:ascii="Calibri" w:cs="Calibri" w:eastAsia="Calibri" w:hAnsi="Calibri"/>
              </w:rPr>
            </w:pPr>
            <w:r w:rsidDel="00000000" w:rsidR="00000000" w:rsidRPr="00000000">
              <w:rPr>
                <w:rFonts w:ascii="Calibri" w:cs="Calibri" w:eastAsia="Calibri" w:hAnsi="Calibri"/>
                <w:rtl w:val="0"/>
              </w:rPr>
              <w:t xml:space="preserve">Executive Director of REC Caucasus</w:t>
            </w:r>
          </w:p>
        </w:tc>
      </w:tr>
    </w:tbl>
    <w:p w:rsidR="00000000" w:rsidDel="00000000" w:rsidP="00000000" w:rsidRDefault="00000000" w:rsidRPr="00000000" w14:paraId="00000011">
      <w:pPr>
        <w:ind w:left="-112" w:firstLine="0"/>
        <w:rPr/>
      </w:pPr>
      <w:r w:rsidDel="00000000" w:rsidR="00000000" w:rsidRPr="00000000">
        <w:rPr>
          <w:rtl w:val="0"/>
        </w:rPr>
      </w:r>
    </w:p>
    <w:p w:rsidR="00000000" w:rsidDel="00000000" w:rsidP="00000000" w:rsidRDefault="00000000" w:rsidRPr="00000000" w14:paraId="00000012">
      <w:pPr>
        <w:spacing w:line="276" w:lineRule="auto"/>
        <w:jc w:val="both"/>
        <w:rPr>
          <w:sz w:val="24"/>
          <w:szCs w:val="24"/>
        </w:rPr>
      </w:pPr>
      <w:r w:rsidDel="00000000" w:rsidR="00000000" w:rsidRPr="00000000">
        <w:rPr>
          <w:rtl w:val="0"/>
        </w:rPr>
      </w:r>
    </w:p>
    <w:p w:rsidR="00000000" w:rsidDel="00000000" w:rsidP="00000000" w:rsidRDefault="00000000" w:rsidRPr="00000000" w14:paraId="00000013">
      <w:pPr>
        <w:spacing w:line="276" w:lineRule="auto"/>
        <w:jc w:val="both"/>
        <w:rPr>
          <w:sz w:val="24"/>
          <w:szCs w:val="24"/>
        </w:rPr>
      </w:pPr>
      <w:r w:rsidDel="00000000" w:rsidR="00000000" w:rsidRPr="00000000">
        <w:rPr>
          <w:rtl w:val="0"/>
        </w:rPr>
      </w:r>
    </w:p>
    <w:p w:rsidR="00000000" w:rsidDel="00000000" w:rsidP="00000000" w:rsidRDefault="00000000" w:rsidRPr="00000000" w14:paraId="00000014">
      <w:pPr>
        <w:spacing w:line="276" w:lineRule="auto"/>
        <w:jc w:val="both"/>
        <w:rPr>
          <w:sz w:val="24"/>
          <w:szCs w:val="24"/>
        </w:rPr>
      </w:pPr>
      <w:r w:rsidDel="00000000" w:rsidR="00000000" w:rsidRPr="00000000">
        <w:rPr>
          <w:rtl w:val="0"/>
        </w:rPr>
      </w:r>
    </w:p>
    <w:p w:rsidR="00000000" w:rsidDel="00000000" w:rsidP="00000000" w:rsidRDefault="00000000" w:rsidRPr="00000000" w14:paraId="00000015">
      <w:pPr>
        <w:spacing w:line="276" w:lineRule="auto"/>
        <w:jc w:val="both"/>
        <w:rPr>
          <w:sz w:val="24"/>
          <w:szCs w:val="24"/>
        </w:rPr>
      </w:pPr>
      <w:r w:rsidDel="00000000" w:rsidR="00000000" w:rsidRPr="00000000">
        <w:rPr>
          <w:rtl w:val="0"/>
        </w:rPr>
      </w:r>
    </w:p>
    <w:p w:rsidR="00000000" w:rsidDel="00000000" w:rsidP="00000000" w:rsidRDefault="00000000" w:rsidRPr="00000000" w14:paraId="00000016">
      <w:pPr>
        <w:spacing w:line="276" w:lineRule="auto"/>
        <w:jc w:val="both"/>
        <w:rPr>
          <w:sz w:val="24"/>
          <w:szCs w:val="24"/>
        </w:rPr>
      </w:pPr>
      <w:r w:rsidDel="00000000" w:rsidR="00000000" w:rsidRPr="00000000">
        <w:rPr>
          <w:rtl w:val="0"/>
        </w:rPr>
      </w:r>
    </w:p>
    <w:p w:rsidR="00000000" w:rsidDel="00000000" w:rsidP="00000000" w:rsidRDefault="00000000" w:rsidRPr="00000000" w14:paraId="00000017">
      <w:pPr>
        <w:spacing w:line="276" w:lineRule="auto"/>
        <w:jc w:val="both"/>
        <w:rPr>
          <w:sz w:val="24"/>
          <w:szCs w:val="24"/>
        </w:rPr>
      </w:pPr>
      <w:r w:rsidDel="00000000" w:rsidR="00000000" w:rsidRPr="00000000">
        <w:rPr>
          <w:rtl w:val="0"/>
        </w:rPr>
      </w:r>
    </w:p>
    <w:p w:rsidR="00000000" w:rsidDel="00000000" w:rsidP="00000000" w:rsidRDefault="00000000" w:rsidRPr="00000000" w14:paraId="00000018">
      <w:pPr>
        <w:spacing w:line="276" w:lineRule="auto"/>
        <w:jc w:val="both"/>
        <w:rPr>
          <w:sz w:val="24"/>
          <w:szCs w:val="24"/>
        </w:rPr>
      </w:pPr>
      <w:r w:rsidDel="00000000" w:rsidR="00000000" w:rsidRPr="00000000">
        <w:rPr>
          <w:rtl w:val="0"/>
        </w:rPr>
      </w:r>
    </w:p>
    <w:p w:rsidR="00000000" w:rsidDel="00000000" w:rsidP="00000000" w:rsidRDefault="00000000" w:rsidRPr="00000000" w14:paraId="00000019">
      <w:pPr>
        <w:spacing w:line="276" w:lineRule="auto"/>
        <w:jc w:val="both"/>
        <w:rPr>
          <w:sz w:val="24"/>
          <w:szCs w:val="24"/>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2f5496"/>
          <w:sz w:val="24"/>
          <w:szCs w:val="24"/>
          <w:u w:val="none"/>
          <w:shd w:fill="auto" w:val="clear"/>
          <w:vertAlign w:val="baseline"/>
        </w:rPr>
      </w:pPr>
      <w:r w:rsidDel="00000000" w:rsidR="00000000" w:rsidRPr="00000000">
        <w:rPr>
          <w:rFonts w:ascii="Calibri" w:cs="Calibri" w:eastAsia="Calibri" w:hAnsi="Calibri"/>
          <w:b w:val="0"/>
          <w:i w:val="0"/>
          <w:smallCaps w:val="0"/>
          <w:strike w:val="0"/>
          <w:color w:val="2f5496"/>
          <w:sz w:val="24"/>
          <w:szCs w:val="24"/>
          <w:u w:val="none"/>
          <w:shd w:fill="auto" w:val="clear"/>
          <w:vertAlign w:val="baseline"/>
          <w:rtl w:val="0"/>
        </w:rPr>
        <w:t xml:space="preserve">Contents</w:t>
      </w:r>
    </w:p>
    <w:sdt>
      <w:sdtPr>
        <w:docPartObj>
          <w:docPartGallery w:val="Table of Contents"/>
          <w:docPartUnique w:val="1"/>
        </w:docPartObj>
      </w:sdtPr>
      <w:sdtContent>
        <w:p w:rsidR="00000000" w:rsidDel="00000000" w:rsidP="00000000" w:rsidRDefault="00000000" w:rsidRPr="00000000" w14:paraId="0000001B">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2f5496"/>
              <w:sz w:val="24"/>
              <w:szCs w:val="24"/>
              <w:u w:val="none"/>
              <w:shd w:fill="auto" w:val="clear"/>
              <w:vertAlign w:val="baseline"/>
            </w:rPr>
          </w:pPr>
          <w:r w:rsidDel="00000000" w:rsidR="00000000" w:rsidRPr="00000000">
            <w:fldChar w:fldCharType="begin"/>
            <w:instrText xml:space="preserve"> TOC \h \u \z \t "Heading 1,1,Heading 2,2,Heading 3,3,"</w:instrText>
            <w:fldChar w:fldCharType="separate"/>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dot" w:pos="9016"/>
            </w:tabs>
            <w:spacing w:after="100" w:before="2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 List of Abbreviations</w:t>
              <w:tab/>
              <w:t xml:space="preserve">3</w:t>
            </w:r>
          </w:hyperlink>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dot" w:pos="9016"/>
            </w:tabs>
            <w:spacing w:after="100" w:before="2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dy6vk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2.Background</w:t>
              <w:tab/>
              <w:t xml:space="preserve">4</w:t>
            </w:r>
          </w:hyperlink>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dot" w:pos="9016"/>
            </w:tabs>
            <w:spacing w:after="100" w:before="240" w:line="240" w:lineRule="auto"/>
            <w:ind w:left="2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t3h5s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 Three Alazani Rivers Biosphere Reserve</w:t>
              <w:tab/>
              <w:t xml:space="preserve">5</w:t>
            </w:r>
          </w:hyperlink>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dot" w:pos="9016"/>
            </w:tabs>
            <w:spacing w:after="100" w:before="2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d34og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 Scope of Work</w:t>
              <w:tab/>
              <w:t xml:space="preserve">11</w:t>
            </w:r>
          </w:hyperlink>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dot" w:pos="9016"/>
            </w:tabs>
            <w:spacing w:after="100" w:before="2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rdcrj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 Duration</w:t>
              <w:tab/>
              <w:t xml:space="preserve">14</w:t>
            </w:r>
          </w:hyperlink>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dot" w:pos="9016"/>
            </w:tabs>
            <w:spacing w:after="100" w:before="2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6in1r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 Deliverables</w:t>
              <w:tab/>
              <w:t xml:space="preserve">14</w:t>
            </w:r>
          </w:hyperlink>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dot" w:pos="9016"/>
            </w:tabs>
            <w:spacing w:after="100" w:before="2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lnxbz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 Required Expertise</w:t>
              <w:tab/>
              <w:t xml:space="preserve">15</w:t>
            </w:r>
          </w:hyperlink>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dot" w:pos="9016"/>
            </w:tabs>
            <w:spacing w:after="100" w:before="2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5nkun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 Payment Schedule and Estimated Time Input</w:t>
              <w:tab/>
              <w:t xml:space="preserve">16</w:t>
            </w:r>
          </w:hyperlink>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dot" w:pos="9016"/>
            </w:tabs>
            <w:spacing w:after="100" w:before="2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ksv4u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 Costing Requirements</w:t>
              <w:tab/>
              <w:t xml:space="preserve">16</w:t>
            </w:r>
          </w:hyperlink>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dot" w:pos="9016"/>
            </w:tabs>
            <w:spacing w:after="100" w:before="2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jxsxq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9. Reporting</w:t>
              <w:tab/>
              <w:t xml:space="preserve">17</w:t>
            </w:r>
          </w:hyperlink>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dot" w:pos="9016"/>
            </w:tabs>
            <w:spacing w:after="100" w:before="2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z337y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10. Input from REC Caucasus and Other Actors</w:t>
              <w:tab/>
              <w:t xml:space="preserve">17</w:t>
            </w:r>
          </w:hyperlink>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dot" w:pos="9016"/>
            </w:tabs>
            <w:spacing w:after="100" w:before="2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j2qqm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 Requirements on the Format of the Bid</w:t>
              <w:tab/>
              <w:t xml:space="preserve">17</w:t>
            </w:r>
          </w:hyperlink>
          <w:r w:rsidDel="00000000" w:rsidR="00000000" w:rsidRPr="00000000">
            <w:rPr>
              <w:rtl w:val="0"/>
            </w:rPr>
          </w:r>
        </w:p>
        <w:p w:rsidR="00000000" w:rsidDel="00000000" w:rsidP="00000000" w:rsidRDefault="00000000" w:rsidRPr="00000000" w14:paraId="00000028">
          <w:pPr>
            <w:spacing w:after="0" w:before="0" w:lineRule="auto"/>
            <w:rPr>
              <w:sz w:val="24"/>
              <w:szCs w:val="24"/>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9">
      <w:pPr>
        <w:pStyle w:val="Heading1"/>
        <w:spacing w:line="276" w:lineRule="auto"/>
        <w:ind w:left="720" w:firstLine="360"/>
        <w:rPr>
          <w:sz w:val="24"/>
          <w:szCs w:val="24"/>
        </w:rPr>
      </w:pPr>
      <w:bookmarkStart w:colFirst="0" w:colLast="0" w:name="_heading=h.3znysh7" w:id="3"/>
      <w:bookmarkEnd w:id="3"/>
      <w:r w:rsidDel="00000000" w:rsidR="00000000" w:rsidRPr="00000000">
        <w:rPr>
          <w:sz w:val="24"/>
          <w:szCs w:val="24"/>
          <w:rtl w:val="0"/>
        </w:rPr>
        <w:t xml:space="preserve">Annexes</w:t>
      </w:r>
    </w:p>
    <w:sdt>
      <w:sdtPr>
        <w:docPartObj>
          <w:docPartGallery w:val="Table of Contents"/>
          <w:docPartUnique w:val="1"/>
        </w:docPartObj>
      </w:sdtPr>
      <w:sdtContent>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9016"/>
            </w:tabs>
            <w:spacing w:after="0" w:before="2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2s8eyo1">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Annex 1</w:t>
            </w:r>
          </w:hyperlink>
          <w:hyperlink w:anchor="_heading=h.2s8eyo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heading=h.2s8eyo1">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hyperlink>
          <w:hyperlink w:anchor="_heading=h.2s8eyo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Nomination form of BR </w:t>
            </w:r>
          </w:hyperlink>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9016"/>
            </w:tabs>
            <w:spacing w:after="0" w:before="24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44sinio">
            <w:r w:rsidDel="00000000" w:rsidR="00000000" w:rsidRPr="00000000">
              <w:rPr>
                <w:rFonts w:ascii="Calibri" w:cs="Calibri" w:eastAsia="Calibri" w:hAnsi="Calibri"/>
                <w:b w:val="1"/>
                <w:i w:val="0"/>
                <w:smallCaps w:val="0"/>
                <w:strike w:val="0"/>
                <w:color w:val="000000"/>
                <w:sz w:val="22"/>
                <w:szCs w:val="22"/>
                <w:highlight w:val="white"/>
                <w:u w:val="none"/>
                <w:vertAlign w:val="baseline"/>
                <w:rtl w:val="0"/>
              </w:rPr>
              <w:t xml:space="preserve">Annex 2 </w:t>
            </w:r>
          </w:hyperlink>
          <w:hyperlink w:anchor="_heading=h.44sinio">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 </w:t>
            </w:r>
          </w:hyperlink>
          <w:hyperlink w:anchor="_heading=h.44sini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Price schedule</w:t>
            </w:r>
          </w:hyperlink>
          <w:r w:rsidDel="00000000" w:rsidR="00000000" w:rsidRPr="00000000">
            <w:rPr>
              <w:rtl w:val="0"/>
            </w:rPr>
          </w:r>
        </w:p>
        <w:p w:rsidR="00000000" w:rsidDel="00000000" w:rsidP="00000000" w:rsidRDefault="00000000" w:rsidRPr="00000000" w14:paraId="0000002C">
          <w:pPr>
            <w:rPr/>
          </w:pPr>
          <w:r w:rsidDel="00000000" w:rsidR="00000000" w:rsidRPr="00000000">
            <w:rPr>
              <w:b w:val="1"/>
              <w:rtl w:val="0"/>
            </w:rPr>
            <w:t xml:space="preserve">Annex 3 </w:t>
          </w:r>
          <w:r w:rsidDel="00000000" w:rsidR="00000000" w:rsidRPr="00000000">
            <w:rPr>
              <w:rtl w:val="0"/>
            </w:rPr>
            <w:t xml:space="preserve">- Application submission form </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240" w:line="240" w:lineRule="auto"/>
            <w:ind w:left="0" w:right="0" w:firstLine="0"/>
            <w:jc w:val="left"/>
            <w:rPr>
              <w:rFonts w:ascii="Calibri" w:cs="Calibri" w:eastAsia="Calibri" w:hAnsi="Calibri"/>
              <w:b w:val="0"/>
              <w:i w:val="0"/>
              <w:smallCaps w:val="0"/>
              <w:strike w:val="0"/>
              <w:sz w:val="22"/>
              <w:szCs w:val="22"/>
              <w:shd w:fill="auto" w:val="clear"/>
              <w:vertAlign w:val="baseline"/>
            </w:rPr>
          </w:pPr>
          <w:hyperlink w:anchor="_heading=h.1y810tw">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Annex 4</w:t>
            </w:r>
          </w:hyperlink>
          <w:hyperlink w:anchor="_heading=h.1y810t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w:t>
            </w:r>
          </w:hyperlink>
          <w:r w:rsidDel="00000000" w:rsidR="00000000" w:rsidRPr="00000000">
            <w:rPr>
              <w:rtl w:val="0"/>
            </w:rPr>
            <w:t xml:space="preserve">Award criteria</w:t>
          </w: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F">
      <w:pPr>
        <w:pStyle w:val="Heading1"/>
        <w:numPr>
          <w:ilvl w:val="0"/>
          <w:numId w:val="11"/>
        </w:numPr>
        <w:spacing w:line="276" w:lineRule="auto"/>
        <w:ind w:left="720" w:hanging="360"/>
        <w:rPr>
          <w:sz w:val="24"/>
          <w:szCs w:val="24"/>
        </w:rPr>
      </w:pPr>
      <w:bookmarkStart w:colFirst="0" w:colLast="0" w:name="_heading=h.2et92p0" w:id="4"/>
      <w:bookmarkEnd w:id="4"/>
      <w:r w:rsidDel="00000000" w:rsidR="00000000" w:rsidRPr="00000000">
        <w:rPr>
          <w:sz w:val="24"/>
          <w:szCs w:val="24"/>
          <w:rtl w:val="0"/>
        </w:rPr>
        <w:t xml:space="preserve">List of Abbreviations </w:t>
      </w:r>
    </w:p>
    <w:tbl>
      <w:tblPr>
        <w:tblStyle w:val="Table2"/>
        <w:tblW w:w="9062.0" w:type="dxa"/>
        <w:jc w:val="left"/>
        <w:tblLayout w:type="fixed"/>
        <w:tblLook w:val="0400"/>
      </w:tblPr>
      <w:tblGrid>
        <w:gridCol w:w="7409"/>
        <w:gridCol w:w="1653"/>
        <w:tblGridChange w:id="0">
          <w:tblGrid>
            <w:gridCol w:w="7409"/>
            <w:gridCol w:w="1653"/>
          </w:tblGrid>
        </w:tblGridChange>
      </w:tblGrid>
      <w:tr>
        <w:trPr>
          <w:cantSplit w:val="0"/>
          <w:trHeight w:val="270" w:hRule="atLeast"/>
          <w:tblHeader w:val="0"/>
        </w:trPr>
        <w:tc>
          <w:tcPr>
            <w:shd w:fill="auto" w:val="clear"/>
            <w:vAlign w:val="center"/>
          </w:tcPr>
          <w:p w:rsidR="00000000" w:rsidDel="00000000" w:rsidP="00000000" w:rsidRDefault="00000000" w:rsidRPr="00000000" w14:paraId="00000030">
            <w:pPr>
              <w:spacing w:after="0" w:before="0" w:lineRule="auto"/>
              <w:jc w:val="both"/>
              <w:rPr>
                <w:color w:val="000000"/>
                <w:sz w:val="24"/>
                <w:szCs w:val="24"/>
              </w:rPr>
            </w:pPr>
            <w:r w:rsidDel="00000000" w:rsidR="00000000" w:rsidRPr="00000000">
              <w:rPr>
                <w:color w:val="000000"/>
                <w:sz w:val="24"/>
                <w:szCs w:val="24"/>
                <w:rtl w:val="0"/>
              </w:rPr>
              <w:t xml:space="preserve">Agency of Protected Areas of Georgia</w:t>
            </w:r>
          </w:p>
        </w:tc>
        <w:tc>
          <w:tcPr>
            <w:shd w:fill="auto" w:val="clear"/>
            <w:vAlign w:val="bottom"/>
          </w:tcPr>
          <w:p w:rsidR="00000000" w:rsidDel="00000000" w:rsidP="00000000" w:rsidRDefault="00000000" w:rsidRPr="00000000" w14:paraId="00000031">
            <w:pPr>
              <w:spacing w:after="0" w:before="0" w:lineRule="auto"/>
              <w:rPr>
                <w:color w:val="000000"/>
                <w:sz w:val="24"/>
                <w:szCs w:val="24"/>
              </w:rPr>
            </w:pPr>
            <w:r w:rsidDel="00000000" w:rsidR="00000000" w:rsidRPr="00000000">
              <w:rPr>
                <w:color w:val="000000"/>
                <w:sz w:val="24"/>
                <w:szCs w:val="24"/>
                <w:rtl w:val="0"/>
              </w:rPr>
              <w:t xml:space="preserve">APA </w:t>
            </w:r>
          </w:p>
        </w:tc>
      </w:tr>
      <w:tr>
        <w:trPr>
          <w:cantSplit w:val="0"/>
          <w:trHeight w:val="270" w:hRule="atLeast"/>
          <w:tblHeader w:val="0"/>
        </w:trPr>
        <w:tc>
          <w:tcPr>
            <w:shd w:fill="auto" w:val="clear"/>
            <w:vAlign w:val="center"/>
          </w:tcPr>
          <w:p w:rsidR="00000000" w:rsidDel="00000000" w:rsidP="00000000" w:rsidRDefault="00000000" w:rsidRPr="00000000" w14:paraId="00000032">
            <w:pPr>
              <w:spacing w:after="0" w:before="0" w:lineRule="auto"/>
              <w:rPr>
                <w:color w:val="000000"/>
                <w:sz w:val="24"/>
                <w:szCs w:val="24"/>
              </w:rPr>
            </w:pPr>
            <w:r w:rsidDel="00000000" w:rsidR="00000000" w:rsidRPr="00000000">
              <w:rPr>
                <w:color w:val="000000"/>
                <w:sz w:val="24"/>
                <w:szCs w:val="24"/>
                <w:rtl w:val="0"/>
              </w:rPr>
              <w:t xml:space="preserve">Biosphere Reserve</w:t>
            </w:r>
          </w:p>
        </w:tc>
        <w:tc>
          <w:tcPr>
            <w:shd w:fill="auto" w:val="clear"/>
            <w:vAlign w:val="bottom"/>
          </w:tcPr>
          <w:p w:rsidR="00000000" w:rsidDel="00000000" w:rsidP="00000000" w:rsidRDefault="00000000" w:rsidRPr="00000000" w14:paraId="00000033">
            <w:pPr>
              <w:spacing w:after="0" w:before="0" w:lineRule="auto"/>
              <w:rPr>
                <w:color w:val="000000"/>
                <w:sz w:val="24"/>
                <w:szCs w:val="24"/>
              </w:rPr>
            </w:pPr>
            <w:r w:rsidDel="00000000" w:rsidR="00000000" w:rsidRPr="00000000">
              <w:rPr>
                <w:color w:val="000000"/>
                <w:sz w:val="24"/>
                <w:szCs w:val="24"/>
                <w:rtl w:val="0"/>
              </w:rPr>
              <w:t xml:space="preserve">BR</w:t>
            </w:r>
          </w:p>
        </w:tc>
      </w:tr>
      <w:tr>
        <w:trPr>
          <w:cantSplit w:val="0"/>
          <w:trHeight w:val="270" w:hRule="atLeast"/>
          <w:tblHeader w:val="0"/>
        </w:trPr>
        <w:tc>
          <w:tcPr>
            <w:shd w:fill="auto" w:val="clear"/>
            <w:vAlign w:val="bottom"/>
          </w:tcPr>
          <w:p w:rsidR="00000000" w:rsidDel="00000000" w:rsidP="00000000" w:rsidRDefault="00000000" w:rsidRPr="00000000" w14:paraId="00000034">
            <w:pPr>
              <w:spacing w:after="0" w:before="0" w:lineRule="auto"/>
              <w:rPr>
                <w:color w:val="000000"/>
                <w:sz w:val="24"/>
                <w:szCs w:val="24"/>
              </w:rPr>
            </w:pPr>
            <w:r w:rsidDel="00000000" w:rsidR="00000000" w:rsidRPr="00000000">
              <w:rPr>
                <w:color w:val="000000"/>
                <w:sz w:val="24"/>
                <w:szCs w:val="24"/>
                <w:rtl w:val="0"/>
              </w:rPr>
              <w:t xml:space="preserve">Deutsche Gesellschaft für Internationale Zusammenarbeit </w:t>
            </w:r>
          </w:p>
        </w:tc>
        <w:tc>
          <w:tcPr>
            <w:shd w:fill="auto" w:val="clear"/>
            <w:vAlign w:val="bottom"/>
          </w:tcPr>
          <w:p w:rsidR="00000000" w:rsidDel="00000000" w:rsidP="00000000" w:rsidRDefault="00000000" w:rsidRPr="00000000" w14:paraId="00000035">
            <w:pPr>
              <w:spacing w:after="0" w:before="0" w:lineRule="auto"/>
              <w:rPr>
                <w:color w:val="000000"/>
                <w:sz w:val="24"/>
                <w:szCs w:val="24"/>
              </w:rPr>
            </w:pPr>
            <w:r w:rsidDel="00000000" w:rsidR="00000000" w:rsidRPr="00000000">
              <w:rPr>
                <w:color w:val="000000"/>
                <w:sz w:val="24"/>
                <w:szCs w:val="24"/>
                <w:rtl w:val="0"/>
              </w:rPr>
              <w:t xml:space="preserve">GIZ </w:t>
            </w:r>
          </w:p>
        </w:tc>
      </w:tr>
      <w:tr>
        <w:trPr>
          <w:cantSplit w:val="0"/>
          <w:trHeight w:val="270" w:hRule="atLeast"/>
          <w:tblHeader w:val="0"/>
        </w:trPr>
        <w:tc>
          <w:tcPr>
            <w:shd w:fill="auto" w:val="clear"/>
            <w:vAlign w:val="bottom"/>
          </w:tcPr>
          <w:p w:rsidR="00000000" w:rsidDel="00000000" w:rsidP="00000000" w:rsidRDefault="00000000" w:rsidRPr="00000000" w14:paraId="00000036">
            <w:pPr>
              <w:spacing w:after="0" w:before="0" w:lineRule="auto"/>
              <w:rPr>
                <w:color w:val="000000"/>
                <w:sz w:val="24"/>
                <w:szCs w:val="24"/>
              </w:rPr>
            </w:pPr>
            <w:r w:rsidDel="00000000" w:rsidR="00000000" w:rsidRPr="00000000">
              <w:rPr>
                <w:color w:val="000000"/>
                <w:sz w:val="24"/>
                <w:szCs w:val="24"/>
                <w:rtl w:val="0"/>
              </w:rPr>
              <w:t xml:space="preserve">European Union </w:t>
            </w:r>
          </w:p>
        </w:tc>
        <w:tc>
          <w:tcPr>
            <w:shd w:fill="auto" w:val="clear"/>
            <w:vAlign w:val="bottom"/>
          </w:tcPr>
          <w:p w:rsidR="00000000" w:rsidDel="00000000" w:rsidP="00000000" w:rsidRDefault="00000000" w:rsidRPr="00000000" w14:paraId="00000037">
            <w:pPr>
              <w:spacing w:after="0" w:before="0" w:lineRule="auto"/>
              <w:rPr>
                <w:color w:val="000000"/>
                <w:sz w:val="24"/>
                <w:szCs w:val="24"/>
              </w:rPr>
            </w:pPr>
            <w:r w:rsidDel="00000000" w:rsidR="00000000" w:rsidRPr="00000000">
              <w:rPr>
                <w:color w:val="000000"/>
                <w:sz w:val="24"/>
                <w:szCs w:val="24"/>
                <w:rtl w:val="0"/>
              </w:rPr>
              <w:t xml:space="preserve">EU</w:t>
            </w:r>
          </w:p>
        </w:tc>
      </w:tr>
      <w:tr>
        <w:trPr>
          <w:cantSplit w:val="0"/>
          <w:trHeight w:val="270" w:hRule="atLeast"/>
          <w:tblHeader w:val="0"/>
        </w:trPr>
        <w:tc>
          <w:tcPr>
            <w:shd w:fill="auto" w:val="clear"/>
            <w:vAlign w:val="bottom"/>
          </w:tcPr>
          <w:p w:rsidR="00000000" w:rsidDel="00000000" w:rsidP="00000000" w:rsidRDefault="00000000" w:rsidRPr="00000000" w14:paraId="00000038">
            <w:pPr>
              <w:spacing w:after="0" w:before="0" w:lineRule="auto"/>
              <w:rPr>
                <w:color w:val="000000"/>
                <w:sz w:val="24"/>
                <w:szCs w:val="24"/>
              </w:rPr>
            </w:pPr>
            <w:r w:rsidDel="00000000" w:rsidR="00000000" w:rsidRPr="00000000">
              <w:rPr>
                <w:color w:val="000000"/>
                <w:sz w:val="24"/>
                <w:szCs w:val="24"/>
                <w:rtl w:val="0"/>
              </w:rPr>
              <w:t xml:space="preserve">Federal Ministry of Economic Cooperation and Development </w:t>
            </w:r>
          </w:p>
        </w:tc>
        <w:tc>
          <w:tcPr>
            <w:shd w:fill="auto" w:val="clear"/>
            <w:vAlign w:val="bottom"/>
          </w:tcPr>
          <w:p w:rsidR="00000000" w:rsidDel="00000000" w:rsidP="00000000" w:rsidRDefault="00000000" w:rsidRPr="00000000" w14:paraId="00000039">
            <w:pPr>
              <w:spacing w:after="0" w:before="0" w:lineRule="auto"/>
              <w:rPr>
                <w:color w:val="000000"/>
                <w:sz w:val="24"/>
                <w:szCs w:val="24"/>
              </w:rPr>
            </w:pPr>
            <w:r w:rsidDel="00000000" w:rsidR="00000000" w:rsidRPr="00000000">
              <w:rPr>
                <w:color w:val="000000"/>
                <w:sz w:val="24"/>
                <w:szCs w:val="24"/>
                <w:rtl w:val="0"/>
              </w:rPr>
              <w:t xml:space="preserve">BMZ</w:t>
            </w:r>
          </w:p>
        </w:tc>
      </w:tr>
      <w:tr>
        <w:trPr>
          <w:cantSplit w:val="0"/>
          <w:trHeight w:val="270" w:hRule="atLeast"/>
          <w:tblHeader w:val="0"/>
        </w:trPr>
        <w:tc>
          <w:tcPr>
            <w:shd w:fill="auto" w:val="clear"/>
            <w:vAlign w:val="bottom"/>
          </w:tcPr>
          <w:p w:rsidR="00000000" w:rsidDel="00000000" w:rsidP="00000000" w:rsidRDefault="00000000" w:rsidRPr="00000000" w14:paraId="0000003A">
            <w:pPr>
              <w:spacing w:after="0" w:before="0" w:lineRule="auto"/>
              <w:rPr>
                <w:color w:val="000000"/>
                <w:sz w:val="24"/>
                <w:szCs w:val="24"/>
              </w:rPr>
            </w:pPr>
            <w:r w:rsidDel="00000000" w:rsidR="00000000" w:rsidRPr="00000000">
              <w:rPr>
                <w:color w:val="000000"/>
                <w:sz w:val="24"/>
                <w:szCs w:val="24"/>
                <w:rtl w:val="0"/>
              </w:rPr>
              <w:t xml:space="preserve">Hectar</w:t>
            </w:r>
          </w:p>
        </w:tc>
        <w:tc>
          <w:tcPr>
            <w:shd w:fill="auto" w:val="clear"/>
            <w:vAlign w:val="bottom"/>
          </w:tcPr>
          <w:p w:rsidR="00000000" w:rsidDel="00000000" w:rsidP="00000000" w:rsidRDefault="00000000" w:rsidRPr="00000000" w14:paraId="0000003B">
            <w:pPr>
              <w:spacing w:after="0" w:before="0" w:lineRule="auto"/>
              <w:rPr>
                <w:color w:val="000000"/>
                <w:sz w:val="24"/>
                <w:szCs w:val="24"/>
              </w:rPr>
            </w:pPr>
            <w:r w:rsidDel="00000000" w:rsidR="00000000" w:rsidRPr="00000000">
              <w:rPr>
                <w:color w:val="000000"/>
                <w:sz w:val="24"/>
                <w:szCs w:val="24"/>
                <w:rtl w:val="0"/>
              </w:rPr>
              <w:t xml:space="preserve">ha</w:t>
            </w:r>
          </w:p>
        </w:tc>
      </w:tr>
      <w:tr>
        <w:trPr>
          <w:cantSplit w:val="0"/>
          <w:trHeight w:val="270" w:hRule="atLeast"/>
          <w:tblHeader w:val="0"/>
        </w:trPr>
        <w:tc>
          <w:tcPr>
            <w:shd w:fill="auto" w:val="clear"/>
            <w:vAlign w:val="center"/>
          </w:tcPr>
          <w:p w:rsidR="00000000" w:rsidDel="00000000" w:rsidP="00000000" w:rsidRDefault="00000000" w:rsidRPr="00000000" w14:paraId="0000003C">
            <w:pPr>
              <w:spacing w:after="0" w:before="0" w:lineRule="auto"/>
              <w:rPr>
                <w:color w:val="000000"/>
                <w:sz w:val="24"/>
                <w:szCs w:val="24"/>
              </w:rPr>
            </w:pPr>
            <w:r w:rsidDel="00000000" w:rsidR="00000000" w:rsidRPr="00000000">
              <w:rPr>
                <w:color w:val="000000"/>
                <w:sz w:val="24"/>
                <w:szCs w:val="24"/>
                <w:rtl w:val="0"/>
              </w:rPr>
              <w:t xml:space="preserve">International Union for the Conservation of Nature</w:t>
            </w:r>
          </w:p>
        </w:tc>
        <w:tc>
          <w:tcPr>
            <w:shd w:fill="auto" w:val="clear"/>
            <w:vAlign w:val="bottom"/>
          </w:tcPr>
          <w:p w:rsidR="00000000" w:rsidDel="00000000" w:rsidP="00000000" w:rsidRDefault="00000000" w:rsidRPr="00000000" w14:paraId="0000003D">
            <w:pPr>
              <w:spacing w:after="0" w:before="0" w:lineRule="auto"/>
              <w:rPr>
                <w:color w:val="000000"/>
                <w:sz w:val="24"/>
                <w:szCs w:val="24"/>
              </w:rPr>
            </w:pPr>
            <w:r w:rsidDel="00000000" w:rsidR="00000000" w:rsidRPr="00000000">
              <w:rPr>
                <w:color w:val="000000"/>
                <w:sz w:val="24"/>
                <w:szCs w:val="24"/>
                <w:rtl w:val="0"/>
              </w:rPr>
              <w:t xml:space="preserve">IUCN</w:t>
            </w:r>
          </w:p>
        </w:tc>
      </w:tr>
      <w:tr>
        <w:trPr>
          <w:cantSplit w:val="0"/>
          <w:trHeight w:val="270" w:hRule="atLeast"/>
          <w:tblHeader w:val="0"/>
        </w:trPr>
        <w:tc>
          <w:tcPr>
            <w:shd w:fill="auto" w:val="clear"/>
            <w:vAlign w:val="center"/>
          </w:tcPr>
          <w:p w:rsidR="00000000" w:rsidDel="00000000" w:rsidP="00000000" w:rsidRDefault="00000000" w:rsidRPr="00000000" w14:paraId="0000003E">
            <w:pPr>
              <w:spacing w:after="0" w:before="0" w:lineRule="auto"/>
              <w:rPr>
                <w:color w:val="000000"/>
                <w:sz w:val="24"/>
                <w:szCs w:val="24"/>
              </w:rPr>
            </w:pPr>
            <w:r w:rsidDel="00000000" w:rsidR="00000000" w:rsidRPr="00000000">
              <w:rPr>
                <w:color w:val="000000"/>
                <w:sz w:val="24"/>
                <w:szCs w:val="24"/>
                <w:rtl w:val="0"/>
              </w:rPr>
              <w:t xml:space="preserve">Man and the Biosphere Programme </w:t>
            </w:r>
          </w:p>
        </w:tc>
        <w:tc>
          <w:tcPr>
            <w:shd w:fill="auto" w:val="clear"/>
            <w:vAlign w:val="bottom"/>
          </w:tcPr>
          <w:p w:rsidR="00000000" w:rsidDel="00000000" w:rsidP="00000000" w:rsidRDefault="00000000" w:rsidRPr="00000000" w14:paraId="0000003F">
            <w:pPr>
              <w:spacing w:after="0" w:before="0" w:lineRule="auto"/>
              <w:rPr>
                <w:color w:val="000000"/>
                <w:sz w:val="24"/>
                <w:szCs w:val="24"/>
              </w:rPr>
            </w:pPr>
            <w:r w:rsidDel="00000000" w:rsidR="00000000" w:rsidRPr="00000000">
              <w:rPr>
                <w:color w:val="000000"/>
                <w:sz w:val="24"/>
                <w:szCs w:val="24"/>
                <w:rtl w:val="0"/>
              </w:rPr>
              <w:t xml:space="preserve">MAB</w:t>
            </w:r>
          </w:p>
        </w:tc>
      </w:tr>
      <w:tr>
        <w:trPr>
          <w:cantSplit w:val="0"/>
          <w:trHeight w:val="270" w:hRule="atLeast"/>
          <w:tblHeader w:val="0"/>
        </w:trPr>
        <w:tc>
          <w:tcPr>
            <w:shd w:fill="auto" w:val="clear"/>
            <w:vAlign w:val="center"/>
          </w:tcPr>
          <w:p w:rsidR="00000000" w:rsidDel="00000000" w:rsidP="00000000" w:rsidRDefault="00000000" w:rsidRPr="00000000" w14:paraId="00000040">
            <w:pPr>
              <w:spacing w:after="0" w:before="0" w:lineRule="auto"/>
              <w:rPr>
                <w:color w:val="000000"/>
                <w:sz w:val="24"/>
                <w:szCs w:val="24"/>
              </w:rPr>
            </w:pPr>
            <w:r w:rsidDel="00000000" w:rsidR="00000000" w:rsidRPr="00000000">
              <w:rPr>
                <w:color w:val="000000"/>
                <w:sz w:val="24"/>
                <w:szCs w:val="24"/>
                <w:rtl w:val="0"/>
              </w:rPr>
              <w:t xml:space="preserve">Management Plan</w:t>
            </w:r>
          </w:p>
        </w:tc>
        <w:tc>
          <w:tcPr>
            <w:shd w:fill="auto" w:val="clear"/>
            <w:vAlign w:val="bottom"/>
          </w:tcPr>
          <w:p w:rsidR="00000000" w:rsidDel="00000000" w:rsidP="00000000" w:rsidRDefault="00000000" w:rsidRPr="00000000" w14:paraId="00000041">
            <w:pPr>
              <w:spacing w:after="0" w:before="0" w:lineRule="auto"/>
              <w:rPr>
                <w:color w:val="000000"/>
                <w:sz w:val="24"/>
                <w:szCs w:val="24"/>
              </w:rPr>
            </w:pPr>
            <w:r w:rsidDel="00000000" w:rsidR="00000000" w:rsidRPr="00000000">
              <w:rPr>
                <w:color w:val="000000"/>
                <w:sz w:val="24"/>
                <w:szCs w:val="24"/>
                <w:rtl w:val="0"/>
              </w:rPr>
              <w:t xml:space="preserve">MP </w:t>
            </w:r>
          </w:p>
        </w:tc>
      </w:tr>
      <w:tr>
        <w:trPr>
          <w:cantSplit w:val="0"/>
          <w:trHeight w:val="270" w:hRule="atLeast"/>
          <w:tblHeader w:val="0"/>
        </w:trPr>
        <w:tc>
          <w:tcPr>
            <w:shd w:fill="auto" w:val="clear"/>
            <w:vAlign w:val="center"/>
          </w:tcPr>
          <w:p w:rsidR="00000000" w:rsidDel="00000000" w:rsidP="00000000" w:rsidRDefault="00000000" w:rsidRPr="00000000" w14:paraId="00000042">
            <w:pPr>
              <w:spacing w:after="0" w:before="0" w:lineRule="auto"/>
              <w:rPr>
                <w:color w:val="000000"/>
                <w:sz w:val="24"/>
                <w:szCs w:val="24"/>
              </w:rPr>
            </w:pPr>
            <w:bookmarkStart w:colFirst="0" w:colLast="0" w:name="_heading=h.tyjcwt" w:id="5"/>
            <w:bookmarkEnd w:id="5"/>
            <w:r w:rsidDel="00000000" w:rsidR="00000000" w:rsidRPr="00000000">
              <w:rPr>
                <w:color w:val="000000"/>
                <w:sz w:val="24"/>
                <w:szCs w:val="24"/>
                <w:rtl w:val="0"/>
              </w:rPr>
              <w:t xml:space="preserve">Michael Succow Foundation</w:t>
            </w:r>
          </w:p>
        </w:tc>
        <w:tc>
          <w:tcPr>
            <w:shd w:fill="auto" w:val="clear"/>
            <w:vAlign w:val="bottom"/>
          </w:tcPr>
          <w:p w:rsidR="00000000" w:rsidDel="00000000" w:rsidP="00000000" w:rsidRDefault="00000000" w:rsidRPr="00000000" w14:paraId="00000043">
            <w:pPr>
              <w:spacing w:after="0" w:before="0" w:lineRule="auto"/>
              <w:rPr>
                <w:color w:val="000000"/>
                <w:sz w:val="24"/>
                <w:szCs w:val="24"/>
              </w:rPr>
            </w:pPr>
            <w:r w:rsidDel="00000000" w:rsidR="00000000" w:rsidRPr="00000000">
              <w:rPr>
                <w:color w:val="000000"/>
                <w:sz w:val="24"/>
                <w:szCs w:val="24"/>
                <w:rtl w:val="0"/>
              </w:rPr>
              <w:t xml:space="preserve">MSF </w:t>
            </w:r>
          </w:p>
        </w:tc>
      </w:tr>
      <w:tr>
        <w:trPr>
          <w:cantSplit w:val="0"/>
          <w:trHeight w:val="270" w:hRule="atLeast"/>
          <w:tblHeader w:val="0"/>
        </w:trPr>
        <w:tc>
          <w:tcPr>
            <w:shd w:fill="auto" w:val="clear"/>
            <w:vAlign w:val="bottom"/>
          </w:tcPr>
          <w:p w:rsidR="00000000" w:rsidDel="00000000" w:rsidP="00000000" w:rsidRDefault="00000000" w:rsidRPr="00000000" w14:paraId="00000044">
            <w:pPr>
              <w:spacing w:after="0" w:before="0" w:lineRule="auto"/>
              <w:rPr>
                <w:color w:val="000000"/>
                <w:sz w:val="24"/>
                <w:szCs w:val="24"/>
              </w:rPr>
            </w:pPr>
            <w:r w:rsidDel="00000000" w:rsidR="00000000" w:rsidRPr="00000000">
              <w:rPr>
                <w:color w:val="000000"/>
                <w:sz w:val="24"/>
                <w:szCs w:val="24"/>
                <w:rtl w:val="0"/>
              </w:rPr>
              <w:t xml:space="preserve">Ministry of Environment Protection and Agriculture of Georgia</w:t>
            </w:r>
          </w:p>
        </w:tc>
        <w:tc>
          <w:tcPr>
            <w:shd w:fill="auto" w:val="clear"/>
            <w:vAlign w:val="bottom"/>
          </w:tcPr>
          <w:p w:rsidR="00000000" w:rsidDel="00000000" w:rsidP="00000000" w:rsidRDefault="00000000" w:rsidRPr="00000000" w14:paraId="00000045">
            <w:pPr>
              <w:spacing w:after="0" w:before="0" w:lineRule="auto"/>
              <w:rPr>
                <w:color w:val="000000"/>
                <w:sz w:val="24"/>
                <w:szCs w:val="24"/>
              </w:rPr>
            </w:pPr>
            <w:r w:rsidDel="00000000" w:rsidR="00000000" w:rsidRPr="00000000">
              <w:rPr>
                <w:color w:val="000000"/>
                <w:sz w:val="24"/>
                <w:szCs w:val="24"/>
                <w:rtl w:val="0"/>
              </w:rPr>
              <w:t xml:space="preserve">MEPA</w:t>
            </w:r>
          </w:p>
        </w:tc>
      </w:tr>
      <w:tr>
        <w:trPr>
          <w:cantSplit w:val="0"/>
          <w:trHeight w:val="270" w:hRule="atLeast"/>
          <w:tblHeader w:val="0"/>
        </w:trPr>
        <w:tc>
          <w:tcPr>
            <w:shd w:fill="auto" w:val="clear"/>
            <w:vAlign w:val="center"/>
          </w:tcPr>
          <w:p w:rsidR="00000000" w:rsidDel="00000000" w:rsidP="00000000" w:rsidRDefault="00000000" w:rsidRPr="00000000" w14:paraId="00000046">
            <w:pPr>
              <w:spacing w:after="0" w:before="0" w:lineRule="auto"/>
              <w:rPr>
                <w:color w:val="000000"/>
                <w:sz w:val="24"/>
                <w:szCs w:val="24"/>
              </w:rPr>
            </w:pPr>
            <w:r w:rsidDel="00000000" w:rsidR="00000000" w:rsidRPr="00000000">
              <w:rPr>
                <w:color w:val="000000"/>
                <w:sz w:val="24"/>
                <w:szCs w:val="24"/>
                <w:rtl w:val="0"/>
              </w:rPr>
              <w:t xml:space="preserve">National Forestry Agency</w:t>
            </w:r>
          </w:p>
        </w:tc>
        <w:tc>
          <w:tcPr>
            <w:shd w:fill="auto" w:val="clear"/>
            <w:vAlign w:val="bottom"/>
          </w:tcPr>
          <w:p w:rsidR="00000000" w:rsidDel="00000000" w:rsidP="00000000" w:rsidRDefault="00000000" w:rsidRPr="00000000" w14:paraId="00000047">
            <w:pPr>
              <w:spacing w:after="0" w:before="0" w:lineRule="auto"/>
              <w:rPr>
                <w:color w:val="000000"/>
                <w:sz w:val="24"/>
                <w:szCs w:val="24"/>
              </w:rPr>
            </w:pPr>
            <w:r w:rsidDel="00000000" w:rsidR="00000000" w:rsidRPr="00000000">
              <w:rPr>
                <w:color w:val="000000"/>
                <w:sz w:val="24"/>
                <w:szCs w:val="24"/>
                <w:rtl w:val="0"/>
              </w:rPr>
              <w:t xml:space="preserve">NFA </w:t>
            </w:r>
          </w:p>
        </w:tc>
      </w:tr>
      <w:tr>
        <w:trPr>
          <w:cantSplit w:val="0"/>
          <w:trHeight w:val="270" w:hRule="atLeast"/>
          <w:tblHeader w:val="0"/>
        </w:trPr>
        <w:tc>
          <w:tcPr>
            <w:shd w:fill="auto" w:val="clear"/>
            <w:vAlign w:val="center"/>
          </w:tcPr>
          <w:p w:rsidR="00000000" w:rsidDel="00000000" w:rsidP="00000000" w:rsidRDefault="00000000" w:rsidRPr="00000000" w14:paraId="00000048">
            <w:pPr>
              <w:spacing w:after="0" w:before="0" w:lineRule="auto"/>
              <w:rPr>
                <w:color w:val="000000"/>
                <w:sz w:val="24"/>
                <w:szCs w:val="24"/>
              </w:rPr>
            </w:pPr>
            <w:r w:rsidDel="00000000" w:rsidR="00000000" w:rsidRPr="00000000">
              <w:rPr>
                <w:color w:val="000000"/>
                <w:sz w:val="24"/>
                <w:szCs w:val="24"/>
                <w:rtl w:val="0"/>
              </w:rPr>
              <w:t xml:space="preserve">Nature Reserve</w:t>
            </w:r>
          </w:p>
        </w:tc>
        <w:tc>
          <w:tcPr>
            <w:shd w:fill="auto" w:val="clear"/>
            <w:vAlign w:val="bottom"/>
          </w:tcPr>
          <w:p w:rsidR="00000000" w:rsidDel="00000000" w:rsidP="00000000" w:rsidRDefault="00000000" w:rsidRPr="00000000" w14:paraId="00000049">
            <w:pPr>
              <w:spacing w:after="0" w:before="0" w:lineRule="auto"/>
              <w:rPr>
                <w:color w:val="000000"/>
                <w:sz w:val="24"/>
                <w:szCs w:val="24"/>
              </w:rPr>
            </w:pPr>
            <w:r w:rsidDel="00000000" w:rsidR="00000000" w:rsidRPr="00000000">
              <w:rPr>
                <w:color w:val="000000"/>
                <w:sz w:val="24"/>
                <w:szCs w:val="24"/>
                <w:rtl w:val="0"/>
              </w:rPr>
              <w:t xml:space="preserve">NR </w:t>
            </w:r>
          </w:p>
        </w:tc>
      </w:tr>
      <w:tr>
        <w:trPr>
          <w:cantSplit w:val="0"/>
          <w:trHeight w:val="270" w:hRule="atLeast"/>
          <w:tblHeader w:val="0"/>
        </w:trPr>
        <w:tc>
          <w:tcPr>
            <w:shd w:fill="auto" w:val="clear"/>
            <w:vAlign w:val="bottom"/>
          </w:tcPr>
          <w:p w:rsidR="00000000" w:rsidDel="00000000" w:rsidP="00000000" w:rsidRDefault="00000000" w:rsidRPr="00000000" w14:paraId="0000004A">
            <w:pPr>
              <w:spacing w:after="0" w:before="0" w:lineRule="auto"/>
              <w:rPr>
                <w:color w:val="0d0d0d"/>
                <w:sz w:val="24"/>
                <w:szCs w:val="24"/>
              </w:rPr>
            </w:pPr>
            <w:r w:rsidDel="00000000" w:rsidR="00000000" w:rsidRPr="00000000">
              <w:rPr>
                <w:color w:val="0d0d0d"/>
                <w:sz w:val="24"/>
                <w:szCs w:val="24"/>
                <w:rtl w:val="0"/>
              </w:rPr>
              <w:t xml:space="preserve">Non-Governmental Organization</w:t>
            </w:r>
          </w:p>
        </w:tc>
        <w:tc>
          <w:tcPr>
            <w:shd w:fill="auto" w:val="clear"/>
            <w:vAlign w:val="bottom"/>
          </w:tcPr>
          <w:p w:rsidR="00000000" w:rsidDel="00000000" w:rsidP="00000000" w:rsidRDefault="00000000" w:rsidRPr="00000000" w14:paraId="0000004B">
            <w:pPr>
              <w:spacing w:after="0" w:before="0" w:lineRule="auto"/>
              <w:rPr>
                <w:color w:val="000000"/>
                <w:sz w:val="24"/>
                <w:szCs w:val="24"/>
              </w:rPr>
            </w:pPr>
            <w:r w:rsidDel="00000000" w:rsidR="00000000" w:rsidRPr="00000000">
              <w:rPr>
                <w:color w:val="000000"/>
                <w:sz w:val="24"/>
                <w:szCs w:val="24"/>
                <w:rtl w:val="0"/>
              </w:rPr>
              <w:t xml:space="preserve">NGO</w:t>
            </w:r>
          </w:p>
        </w:tc>
      </w:tr>
      <w:tr>
        <w:trPr>
          <w:cantSplit w:val="0"/>
          <w:trHeight w:val="270" w:hRule="atLeast"/>
          <w:tblHeader w:val="0"/>
        </w:trPr>
        <w:tc>
          <w:tcPr>
            <w:shd w:fill="auto" w:val="clear"/>
            <w:vAlign w:val="bottom"/>
          </w:tcPr>
          <w:p w:rsidR="00000000" w:rsidDel="00000000" w:rsidP="00000000" w:rsidRDefault="00000000" w:rsidRPr="00000000" w14:paraId="0000004C">
            <w:pPr>
              <w:spacing w:after="0" w:before="0" w:lineRule="auto"/>
              <w:rPr>
                <w:color w:val="000000"/>
                <w:sz w:val="24"/>
                <w:szCs w:val="24"/>
              </w:rPr>
            </w:pPr>
            <w:r w:rsidDel="00000000" w:rsidR="00000000" w:rsidRPr="00000000">
              <w:rPr>
                <w:color w:val="000000"/>
                <w:sz w:val="24"/>
                <w:szCs w:val="24"/>
                <w:rtl w:val="0"/>
              </w:rPr>
              <w:t xml:space="preserve">Regional Environmental Center for the Caucasus</w:t>
            </w:r>
          </w:p>
        </w:tc>
        <w:tc>
          <w:tcPr>
            <w:shd w:fill="auto" w:val="clear"/>
            <w:vAlign w:val="bottom"/>
          </w:tcPr>
          <w:p w:rsidR="00000000" w:rsidDel="00000000" w:rsidP="00000000" w:rsidRDefault="00000000" w:rsidRPr="00000000" w14:paraId="0000004D">
            <w:pPr>
              <w:spacing w:after="0" w:before="0" w:lineRule="auto"/>
              <w:rPr>
                <w:color w:val="000000"/>
                <w:sz w:val="24"/>
                <w:szCs w:val="24"/>
              </w:rPr>
            </w:pPr>
            <w:r w:rsidDel="00000000" w:rsidR="00000000" w:rsidRPr="00000000">
              <w:rPr>
                <w:color w:val="000000"/>
                <w:sz w:val="24"/>
                <w:szCs w:val="24"/>
                <w:rtl w:val="0"/>
              </w:rPr>
              <w:t xml:space="preserve">REC Caucasus</w:t>
            </w:r>
          </w:p>
        </w:tc>
      </w:tr>
      <w:tr>
        <w:trPr>
          <w:cantSplit w:val="0"/>
          <w:trHeight w:val="270" w:hRule="atLeast"/>
          <w:tblHeader w:val="0"/>
        </w:trPr>
        <w:tc>
          <w:tcPr>
            <w:shd w:fill="auto" w:val="clear"/>
            <w:vAlign w:val="bottom"/>
          </w:tcPr>
          <w:p w:rsidR="00000000" w:rsidDel="00000000" w:rsidP="00000000" w:rsidRDefault="00000000" w:rsidRPr="00000000" w14:paraId="0000004E">
            <w:pPr>
              <w:spacing w:after="0" w:before="0" w:lineRule="auto"/>
              <w:rPr>
                <w:color w:val="000000"/>
                <w:sz w:val="24"/>
                <w:szCs w:val="24"/>
              </w:rPr>
            </w:pPr>
            <w:r w:rsidDel="00000000" w:rsidR="00000000" w:rsidRPr="00000000">
              <w:rPr>
                <w:color w:val="000000"/>
                <w:sz w:val="24"/>
                <w:szCs w:val="24"/>
                <w:rtl w:val="0"/>
              </w:rPr>
              <w:t xml:space="preserve">United Nations Educational, Scientific and Cultural Organization</w:t>
            </w:r>
          </w:p>
        </w:tc>
        <w:tc>
          <w:tcPr>
            <w:shd w:fill="auto" w:val="clear"/>
            <w:vAlign w:val="bottom"/>
          </w:tcPr>
          <w:p w:rsidR="00000000" w:rsidDel="00000000" w:rsidP="00000000" w:rsidRDefault="00000000" w:rsidRPr="00000000" w14:paraId="0000004F">
            <w:pPr>
              <w:spacing w:after="0" w:before="0" w:lineRule="auto"/>
              <w:rPr>
                <w:color w:val="000000"/>
                <w:sz w:val="24"/>
                <w:szCs w:val="24"/>
              </w:rPr>
            </w:pPr>
            <w:r w:rsidDel="00000000" w:rsidR="00000000" w:rsidRPr="00000000">
              <w:rPr>
                <w:color w:val="000000"/>
                <w:sz w:val="24"/>
                <w:szCs w:val="24"/>
                <w:rtl w:val="0"/>
              </w:rPr>
              <w:t xml:space="preserve">UNESCO </w:t>
            </w:r>
          </w:p>
        </w:tc>
      </w:tr>
    </w:tbl>
    <w:p w:rsidR="00000000" w:rsidDel="00000000" w:rsidP="00000000" w:rsidRDefault="00000000" w:rsidRPr="00000000" w14:paraId="00000050">
      <w:pPr>
        <w:rPr/>
        <w:sectPr>
          <w:headerReference r:id="rId8" w:type="default"/>
          <w:pgSz w:h="16838" w:w="11906" w:orient="portrait"/>
          <w:pgMar w:bottom="993" w:top="1974" w:left="1440" w:right="1440" w:header="380" w:footer="709"/>
          <w:pgNumType w:start="1"/>
        </w:sectPr>
      </w:pPr>
      <w:r w:rsidDel="00000000" w:rsidR="00000000" w:rsidRPr="00000000">
        <w:rPr>
          <w:rtl w:val="0"/>
        </w:rPr>
      </w:r>
    </w:p>
    <w:p w:rsidR="00000000" w:rsidDel="00000000" w:rsidP="00000000" w:rsidRDefault="00000000" w:rsidRPr="00000000" w14:paraId="00000051">
      <w:pPr>
        <w:pStyle w:val="Heading1"/>
        <w:numPr>
          <w:ilvl w:val="0"/>
          <w:numId w:val="11"/>
        </w:numPr>
        <w:spacing w:line="276" w:lineRule="auto"/>
        <w:ind w:left="720" w:hanging="360"/>
        <w:rPr>
          <w:sz w:val="24"/>
          <w:szCs w:val="24"/>
        </w:rPr>
      </w:pPr>
      <w:bookmarkStart w:colFirst="0" w:colLast="0" w:name="_heading=h.3dy6vkm" w:id="6"/>
      <w:bookmarkEnd w:id="6"/>
      <w:r w:rsidDel="00000000" w:rsidR="00000000" w:rsidRPr="00000000">
        <w:rPr>
          <w:sz w:val="24"/>
          <w:szCs w:val="24"/>
          <w:rtl w:val="0"/>
        </w:rPr>
        <w:t xml:space="preserve">Background</w:t>
      </w:r>
    </w:p>
    <w:p w:rsidR="00000000" w:rsidDel="00000000" w:rsidP="00000000" w:rsidRDefault="00000000" w:rsidRPr="00000000" w14:paraId="00000052">
      <w:pPr>
        <w:spacing w:line="276" w:lineRule="auto"/>
        <w:jc w:val="both"/>
        <w:rPr>
          <w:color w:val="385623"/>
          <w:sz w:val="24"/>
          <w:szCs w:val="24"/>
        </w:rPr>
      </w:pPr>
      <w:r w:rsidDel="00000000" w:rsidR="00000000" w:rsidRPr="00000000">
        <w:rPr>
          <w:sz w:val="24"/>
          <w:szCs w:val="24"/>
          <w:rtl w:val="0"/>
        </w:rPr>
        <w:t xml:space="preserve">The Regional Environmental Center for the Caucasus (REC Caucasus) is a non-profit organization established in 1999 within the framework of the “Environment for Europe Process” by the governments of Azerbaijan, Armenia, Georgia and the European Union (EU). It has headquarters in Tbilisi, Georgia and country offices in Yerevan, Armenia and Baku, Azerbaijan. REC Caucasus works as a catalyst, accelerating sustainable solutions in partnership with governments and non-governmental stakeholders. </w:t>
      </w:r>
      <w:r w:rsidDel="00000000" w:rsidR="00000000" w:rsidRPr="00000000">
        <w:rPr>
          <w:rtl w:val="0"/>
        </w:rPr>
      </w:r>
    </w:p>
    <w:p w:rsidR="00000000" w:rsidDel="00000000" w:rsidP="00000000" w:rsidRDefault="00000000" w:rsidRPr="00000000" w14:paraId="00000053">
      <w:pPr>
        <w:spacing w:line="276" w:lineRule="auto"/>
        <w:jc w:val="both"/>
        <w:rPr>
          <w:sz w:val="24"/>
          <w:szCs w:val="24"/>
        </w:rPr>
      </w:pPr>
      <w:r w:rsidDel="00000000" w:rsidR="00000000" w:rsidRPr="00000000">
        <w:rPr>
          <w:sz w:val="24"/>
          <w:szCs w:val="24"/>
          <w:rtl w:val="0"/>
        </w:rPr>
        <w:t xml:space="preserve">REC Caucasus’s projects focus on helping communities to strengthen environmental governance, shift to a low-carbon economy, build resilience to climate change, sustainably manage natural resources, and develop capacities for future environmental stewardship.</w:t>
      </w:r>
    </w:p>
    <w:p w:rsidR="00000000" w:rsidDel="00000000" w:rsidP="00000000" w:rsidRDefault="00000000" w:rsidRPr="00000000" w14:paraId="00000054">
      <w:pPr>
        <w:spacing w:line="276" w:lineRule="auto"/>
        <w:jc w:val="both"/>
        <w:rPr>
          <w:sz w:val="24"/>
          <w:szCs w:val="24"/>
        </w:rPr>
      </w:pPr>
      <w:r w:rsidDel="00000000" w:rsidR="00000000" w:rsidRPr="00000000">
        <w:rPr>
          <w:sz w:val="24"/>
          <w:szCs w:val="24"/>
          <w:rtl w:val="0"/>
        </w:rPr>
        <w:t xml:space="preserve">The mission of the REC Caucasus is determined as “to assist in solving of environmental problems in the Caucasus region through the promotion of co-operation at national and regional level among NGOs, governments, business, local communities, and all other environmental stakeholders, to develop a free exchange of information, in line with the principles of the Aarhus Convention; offer assistance to all environmental NGOs and other stakeholders; and increase public participation in the decision-making process, thereby assisting the states of the Caucasus in the further development of a democratic civil society.</w:t>
      </w:r>
    </w:p>
    <w:p w:rsidR="00000000" w:rsidDel="00000000" w:rsidP="00000000" w:rsidRDefault="00000000" w:rsidRPr="00000000" w14:paraId="00000055">
      <w:pPr>
        <w:spacing w:line="276" w:lineRule="auto"/>
        <w:jc w:val="both"/>
        <w:rPr>
          <w:sz w:val="24"/>
          <w:szCs w:val="24"/>
        </w:rPr>
      </w:pPr>
      <w:r w:rsidDel="00000000" w:rsidR="00000000" w:rsidRPr="00000000">
        <w:rPr>
          <w:sz w:val="24"/>
          <w:szCs w:val="24"/>
          <w:rtl w:val="0"/>
        </w:rPr>
        <w:t xml:space="preserve">The Regional Environmental Centre for the Caucasus (REC Caucasus) together with the Michael Succow Foundation (MSF) in close partnership with the Georgian Ministry of Environment Protection and Agriculture (MEPA) and with the financial support of the Federal Ministry for the Environment, Nature Conservation, Nuclear Safety and Consumer Protection (BMUV) through Deutsche Gesellschaft für Internationale Zusammenarbeit (GIZ) facilitated the development of the first Biosphere Reserves in South Caucasus. </w:t>
      </w:r>
    </w:p>
    <w:p w:rsidR="00000000" w:rsidDel="00000000" w:rsidP="00000000" w:rsidRDefault="00000000" w:rsidRPr="00000000" w14:paraId="00000056">
      <w:pPr>
        <w:spacing w:line="276" w:lineRule="auto"/>
        <w:jc w:val="both"/>
        <w:rPr>
          <w:sz w:val="24"/>
          <w:szCs w:val="24"/>
        </w:rPr>
      </w:pPr>
      <w:r w:rsidDel="00000000" w:rsidR="00000000" w:rsidRPr="00000000">
        <w:rPr>
          <w:sz w:val="24"/>
          <w:szCs w:val="24"/>
          <w:rtl w:val="0"/>
        </w:rPr>
        <w:t xml:space="preserve">Biosphere Reserves (UNESCO Man and Biosphere Programme) are developed and managed as model regions for sustainable development, including climate change mitigation and adaptation. BRs were given the task of investigating the complex human-environment-relationships and of applying the findings for meaningful and sustainable use of natural resources. With the Seville Strategy of 1995, BRs were declared to be ‘Model Regions of Sustainable Development’. They can be regarded as a promising instrument for the integrated management of natural resources and for supporting the resilience of climate-vulnerable regions such as Eastern Georgia. By including nature conservation measures and the promotion of sustainable land use practices they contribute to halting the loss of biodiversity. BRs can also serve in protecting the natural areas and old cultural landscapes of Georgia with their unique biodiversity which is increasingly threatened by an unsustainable use of resources and climate change.</w:t>
      </w:r>
    </w:p>
    <w:p w:rsidR="00000000" w:rsidDel="00000000" w:rsidP="00000000" w:rsidRDefault="00000000" w:rsidRPr="00000000" w14:paraId="00000057">
      <w:pPr>
        <w:spacing w:line="276" w:lineRule="auto"/>
        <w:jc w:val="both"/>
        <w:rPr>
          <w:sz w:val="24"/>
          <w:szCs w:val="24"/>
        </w:rPr>
      </w:pPr>
      <w:r w:rsidDel="00000000" w:rsidR="00000000" w:rsidRPr="00000000">
        <w:rPr>
          <w:sz w:val="24"/>
          <w:szCs w:val="24"/>
          <w:rtl w:val="0"/>
        </w:rPr>
        <w:t xml:space="preserve">Various phases such as feasibility analysis, capacity building as well as participatory planning and nomination to UNESCO were completed. As a result of the comprehensive work, the Three Alazani Rivers and Dedoplistkaro Biosphere Reserves were successfully designated in Georgia by UNESCO in 2022.</w:t>
      </w:r>
    </w:p>
    <w:p w:rsidR="00000000" w:rsidDel="00000000" w:rsidP="00000000" w:rsidRDefault="00000000" w:rsidRPr="00000000" w14:paraId="00000058">
      <w:pPr>
        <w:spacing w:line="276" w:lineRule="auto"/>
        <w:jc w:val="both"/>
        <w:rPr>
          <w:sz w:val="24"/>
          <w:szCs w:val="24"/>
        </w:rPr>
      </w:pPr>
      <w:r w:rsidDel="00000000" w:rsidR="00000000" w:rsidRPr="00000000">
        <w:rPr>
          <w:sz w:val="24"/>
          <w:szCs w:val="24"/>
          <w:rtl w:val="0"/>
        </w:rPr>
        <w:t xml:space="preserve">After the successful designation of the BRs, it is now the ideal moment to implement practical steps towards strengthening and getting operational the BR management body, as well as to raise awareness and increase the visibility of the BRs nationwide and regionally. The development of the established Three Alazani Biosphere Reserve and the implementation of related objectives and supporting activities is a priority for the Ministry of Environmental Protection and Agriculture (MEPA). Therefore, with the financial support of the Federal Ministry of Economic Cooperation and Development (BMZ) and technical assistance from GIZ, REC Caucasus is implementing the project "Biosphere Reserves as Model Regions for Sustainable Development – Capacity Development for Coordinated and Effective Management of the Three Alazani Rivers Biosphere Reserve in Georgia." This project is an integral part of the program "Policy Dialogue and Knowledge Management on Climate Protection Strategies" implemented by GIZ.</w:t>
      </w:r>
    </w:p>
    <w:p w:rsidR="00000000" w:rsidDel="00000000" w:rsidP="00000000" w:rsidRDefault="00000000" w:rsidRPr="00000000" w14:paraId="00000059">
      <w:pPr>
        <w:spacing w:line="276" w:lineRule="auto"/>
        <w:jc w:val="both"/>
        <w:rPr>
          <w:b w:val="1"/>
          <w:sz w:val="24"/>
          <w:szCs w:val="24"/>
        </w:rPr>
      </w:pPr>
      <w:r w:rsidDel="00000000" w:rsidR="00000000" w:rsidRPr="00000000">
        <w:rPr>
          <w:b w:val="1"/>
          <w:sz w:val="24"/>
          <w:szCs w:val="24"/>
          <w:rtl w:val="0"/>
        </w:rPr>
        <w:t xml:space="preserve">The overarching project goal is to support: </w:t>
      </w:r>
    </w:p>
    <w:p w:rsidR="00000000" w:rsidDel="00000000" w:rsidP="00000000" w:rsidRDefault="00000000" w:rsidRPr="00000000" w14:paraId="0000005A">
      <w:pPr>
        <w:spacing w:line="276" w:lineRule="auto"/>
        <w:jc w:val="both"/>
        <w:rPr>
          <w:sz w:val="24"/>
          <w:szCs w:val="24"/>
        </w:rPr>
      </w:pPr>
      <w:r w:rsidDel="00000000" w:rsidR="00000000" w:rsidRPr="00000000">
        <w:rPr>
          <w:sz w:val="24"/>
          <w:szCs w:val="24"/>
          <w:rtl w:val="0"/>
        </w:rPr>
        <w:t xml:space="preserve">awareness raising on the BR concept, and improve the capacities of the BR management body and other key stakeholders to ensure effective and coordinated gender-responsive management of the Three Alazani Rivers Biosphere Reserve, as well as fulfilment of its functions and goals contributing to the sustainable development of the region. </w:t>
      </w:r>
    </w:p>
    <w:p w:rsidR="00000000" w:rsidDel="00000000" w:rsidP="00000000" w:rsidRDefault="00000000" w:rsidRPr="00000000" w14:paraId="0000005B">
      <w:pPr>
        <w:spacing w:line="276" w:lineRule="auto"/>
        <w:rPr>
          <w:b w:val="1"/>
          <w:sz w:val="24"/>
          <w:szCs w:val="24"/>
        </w:rPr>
      </w:pPr>
      <w:r w:rsidDel="00000000" w:rsidR="00000000" w:rsidRPr="00000000">
        <w:rPr>
          <w:b w:val="1"/>
          <w:sz w:val="24"/>
          <w:szCs w:val="24"/>
          <w:rtl w:val="0"/>
        </w:rPr>
        <w:t xml:space="preserve">Outputs (specific project goals): </w:t>
      </w:r>
    </w:p>
    <w:p w:rsidR="00000000" w:rsidDel="00000000" w:rsidP="00000000" w:rsidRDefault="00000000" w:rsidRPr="00000000" w14:paraId="0000005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24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Gender-responsive BR governing, management and advisory bodies are established and operational;</w:t>
      </w:r>
    </w:p>
    <w:p w:rsidR="00000000" w:rsidDel="00000000" w:rsidP="00000000" w:rsidRDefault="00000000" w:rsidRPr="00000000" w14:paraId="0000005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Capacities of the BR management body and key partners concerning specific topics and challenges in regard to BR development and operation are strengthened as well as knowledge sharing and exchange between key stakeholders is promoted;</w:t>
      </w:r>
    </w:p>
    <w:p w:rsidR="00000000" w:rsidDel="00000000" w:rsidP="00000000" w:rsidRDefault="00000000" w:rsidRPr="00000000" w14:paraId="0000005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BR office is established, equipped and operational;</w:t>
      </w:r>
    </w:p>
    <w:p w:rsidR="00000000" w:rsidDel="00000000" w:rsidP="00000000" w:rsidRDefault="00000000" w:rsidRPr="00000000" w14:paraId="0000005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4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Three Alazani Rivers BR is promoted on local as well as national level and selected awareness-raising activities are implemented with active involvement of youth and women. </w:t>
      </w:r>
    </w:p>
    <w:p w:rsidR="00000000" w:rsidDel="00000000" w:rsidP="00000000" w:rsidRDefault="00000000" w:rsidRPr="00000000" w14:paraId="00000060">
      <w:pPr>
        <w:pStyle w:val="Heading2"/>
        <w:numPr>
          <w:ilvl w:val="0"/>
          <w:numId w:val="2"/>
        </w:numPr>
        <w:ind w:left="720" w:hanging="360"/>
        <w:rPr>
          <w:sz w:val="24"/>
          <w:szCs w:val="24"/>
        </w:rPr>
      </w:pPr>
      <w:bookmarkStart w:colFirst="0" w:colLast="0" w:name="_heading=h.1t3h5sf" w:id="7"/>
      <w:bookmarkEnd w:id="7"/>
      <w:r w:rsidDel="00000000" w:rsidR="00000000" w:rsidRPr="00000000">
        <w:rPr>
          <w:sz w:val="24"/>
          <w:szCs w:val="24"/>
          <w:rtl w:val="0"/>
        </w:rPr>
        <w:t xml:space="preserve">Three Alazani Rivers Biosphere Reserve</w:t>
      </w:r>
    </w:p>
    <w:p w:rsidR="00000000" w:rsidDel="00000000" w:rsidP="00000000" w:rsidRDefault="00000000" w:rsidRPr="00000000" w14:paraId="00000061">
      <w:pPr>
        <w:spacing w:line="276" w:lineRule="auto"/>
        <w:jc w:val="both"/>
        <w:rPr>
          <w:sz w:val="24"/>
          <w:szCs w:val="24"/>
        </w:rPr>
      </w:pPr>
      <w:r w:rsidDel="00000000" w:rsidR="00000000" w:rsidRPr="00000000">
        <w:rPr>
          <w:sz w:val="24"/>
          <w:szCs w:val="24"/>
          <w:rtl w:val="0"/>
        </w:rPr>
        <w:t xml:space="preserve">In June 2022, the Three Alazni Biosphere Reserve was officially recognized by UNESCO and listed on the International Biosphere Reserve list. </w:t>
      </w:r>
    </w:p>
    <w:p w:rsidR="00000000" w:rsidDel="00000000" w:rsidP="00000000" w:rsidRDefault="00000000" w:rsidRPr="00000000" w14:paraId="00000062">
      <w:pPr>
        <w:spacing w:line="276" w:lineRule="auto"/>
        <w:jc w:val="both"/>
        <w:rPr>
          <w:sz w:val="24"/>
          <w:szCs w:val="24"/>
        </w:rPr>
      </w:pPr>
      <w:r w:rsidDel="00000000" w:rsidR="00000000" w:rsidRPr="00000000">
        <w:rPr>
          <w:sz w:val="24"/>
          <w:szCs w:val="24"/>
          <w:rtl w:val="0"/>
        </w:rPr>
        <w:t xml:space="preserve">The Three Alazani Rivers BR is located in the main Greater Caucasus range in eastern Georgia in the Kakheti Region (see Map 1) within the boundaries of the Akhmeta Municipality and partly covering the Telavi Municipality. The BR covers a 199,944 ha area with the lowest elevation of 470 m.a.s.l. and the highest at about 4,200 m.a.s.l. The planned BR consists of the following areas:  Tusheti in its historical-geographical boundaries, the lowland area of the Akhmeta Municipality – the Pankisi Gorge and the permanent residential areas of the Tushetian community as well as part of the Alaverdi floodplain forests, the village of Alaverdi and some small territory of the Telavi Municipality – part of the River Stori Gorge.</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1"/>
          <w:i w:val="1"/>
          <w:smallCaps w:val="0"/>
          <w:strike w:val="0"/>
          <w:color w:val="44546a"/>
          <w:sz w:val="24"/>
          <w:szCs w:val="24"/>
          <w:u w:val="none"/>
          <w:shd w:fill="auto" w:val="clear"/>
          <w:vertAlign w:val="baseline"/>
        </w:rPr>
      </w:pPr>
      <w:r w:rsidDel="00000000" w:rsidR="00000000" w:rsidRPr="00000000">
        <w:rPr>
          <w:rFonts w:ascii="Calibri" w:cs="Calibri" w:eastAsia="Calibri" w:hAnsi="Calibri"/>
          <w:b w:val="1"/>
          <w:i w:val="1"/>
          <w:smallCaps w:val="0"/>
          <w:strike w:val="0"/>
          <w:color w:val="44546a"/>
          <w:sz w:val="24"/>
          <w:szCs w:val="24"/>
          <w:u w:val="none"/>
          <w:shd w:fill="auto" w:val="clear"/>
          <w:vertAlign w:val="baseline"/>
          <w:rtl w:val="0"/>
        </w:rPr>
        <w:t xml:space="preserve">Map 1. Location of the Planned Three Alazani Rivers Biosphere Reserve on the Map of the Protected Areas of Georgia </w:t>
      </w:r>
      <w:r w:rsidDel="00000000" w:rsidR="00000000" w:rsidRPr="00000000">
        <w:drawing>
          <wp:anchor allowOverlap="1" behindDoc="0" distB="0" distT="0" distL="114935" distR="114935" hidden="0" layoutInCell="1" locked="0" relativeHeight="0" simplePos="0">
            <wp:simplePos x="0" y="0"/>
            <wp:positionH relativeFrom="column">
              <wp:posOffset>1</wp:posOffset>
            </wp:positionH>
            <wp:positionV relativeFrom="paragraph">
              <wp:posOffset>416560</wp:posOffset>
            </wp:positionV>
            <wp:extent cx="5679440" cy="3292475"/>
            <wp:effectExtent b="0" l="0" r="0" t="0"/>
            <wp:wrapTopAndBottom distB="0" distT="0"/>
            <wp:docPr id="1809925284"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679440" cy="3292475"/>
                    </a:xfrm>
                    <a:prstGeom prst="rect"/>
                    <a:ln/>
                  </pic:spPr>
                </pic:pic>
              </a:graphicData>
            </a:graphic>
          </wp:anchor>
        </w:drawing>
      </w:r>
    </w:p>
    <w:p w:rsidR="00000000" w:rsidDel="00000000" w:rsidP="00000000" w:rsidRDefault="00000000" w:rsidRPr="00000000" w14:paraId="00000064">
      <w:pPr>
        <w:spacing w:line="276" w:lineRule="auto"/>
        <w:jc w:val="both"/>
        <w:rPr>
          <w:color w:val="000000"/>
          <w:sz w:val="24"/>
          <w:szCs w:val="24"/>
        </w:rPr>
      </w:pPr>
      <w:r w:rsidDel="00000000" w:rsidR="00000000" w:rsidRPr="00000000">
        <w:rPr>
          <w:color w:val="000000"/>
          <w:sz w:val="24"/>
          <w:szCs w:val="24"/>
          <w:rtl w:val="0"/>
        </w:rPr>
        <w:t xml:space="preserve">The proposed Three Alazani Rivers Biosphere Reserve area is one of the richest regions of </w:t>
      </w:r>
      <w:r w:rsidDel="00000000" w:rsidR="00000000" w:rsidRPr="00000000">
        <w:rPr>
          <w:sz w:val="24"/>
          <w:szCs w:val="24"/>
          <w:rtl w:val="0"/>
        </w:rPr>
        <w:t xml:space="preserve">Georgia's</w:t>
      </w:r>
      <w:r w:rsidDel="00000000" w:rsidR="00000000" w:rsidRPr="00000000">
        <w:rPr>
          <w:color w:val="000000"/>
          <w:sz w:val="24"/>
          <w:szCs w:val="24"/>
          <w:rtl w:val="0"/>
        </w:rPr>
        <w:t xml:space="preserve"> flora and fauna diversity, especially its northern part of Tusheti. Vegetation cover includes floodplain </w:t>
      </w:r>
      <w:r w:rsidDel="00000000" w:rsidR="00000000" w:rsidRPr="00000000">
        <w:rPr>
          <w:sz w:val="24"/>
          <w:szCs w:val="24"/>
          <w:rtl w:val="0"/>
        </w:rPr>
        <w:t xml:space="preserve">forests</w:t>
      </w:r>
      <w:r w:rsidDel="00000000" w:rsidR="00000000" w:rsidRPr="00000000">
        <w:rPr>
          <w:color w:val="000000"/>
          <w:sz w:val="24"/>
          <w:szCs w:val="24"/>
          <w:rtl w:val="0"/>
        </w:rPr>
        <w:t xml:space="preserve">, mountain and sub-alpine forests, sub-alpine shrubs, mountain meadows, sub-alpine and alpine grasslands, sub-nival vegetation and scree vegetation complexes. In addition to wild species biodiversity, Tusheti is also important for its agrobiodiversity, including domestic plants and crops and animal breeds. The Qershveli</w:t>
      </w:r>
      <w:r w:rsidDel="00000000" w:rsidR="00000000" w:rsidRPr="00000000">
        <w:rPr>
          <w:sz w:val="24"/>
          <w:szCs w:val="24"/>
          <w:rtl w:val="0"/>
        </w:rPr>
        <w:t xml:space="preserve"> </w:t>
      </w:r>
      <w:r w:rsidDel="00000000" w:rsidR="00000000" w:rsidRPr="00000000">
        <w:rPr>
          <w:color w:val="000000"/>
          <w:sz w:val="24"/>
          <w:szCs w:val="24"/>
          <w:rtl w:val="0"/>
        </w:rPr>
        <w:t xml:space="preserve">barley breed is significant within the plant group for its unique characteristics. The Tushetian horse, the Tushetian sheep and the famous Georgian shepherd dog are significant within the animal group.</w:t>
      </w:r>
    </w:p>
    <w:p w:rsidR="00000000" w:rsidDel="00000000" w:rsidP="00000000" w:rsidRDefault="00000000" w:rsidRPr="00000000" w14:paraId="00000065">
      <w:pPr>
        <w:spacing w:line="276" w:lineRule="auto"/>
        <w:jc w:val="both"/>
        <w:rPr>
          <w:sz w:val="24"/>
          <w:szCs w:val="24"/>
        </w:rPr>
      </w:pPr>
      <w:r w:rsidDel="00000000" w:rsidR="00000000" w:rsidRPr="00000000">
        <w:rPr>
          <w:sz w:val="24"/>
          <w:szCs w:val="24"/>
          <w:rtl w:val="0"/>
        </w:rPr>
        <w:t xml:space="preserve">The main economic activity in the planned Three Alazani Rivers BR is agriculture; namely: viticulture, crop production, cattle-breeding and sheep-farming as well as fruit growing and market gardening. There is traditional sheep-farming, cattle-breeding and tourism activities in the mountainous areas of the BR. </w:t>
      </w:r>
    </w:p>
    <w:p w:rsidR="00000000" w:rsidDel="00000000" w:rsidP="00000000" w:rsidRDefault="00000000" w:rsidRPr="00000000" w14:paraId="00000066">
      <w:pPr>
        <w:spacing w:line="276" w:lineRule="auto"/>
        <w:jc w:val="both"/>
        <w:rPr>
          <w:sz w:val="24"/>
          <w:szCs w:val="24"/>
        </w:rPr>
      </w:pPr>
      <w:r w:rsidDel="00000000" w:rsidR="00000000" w:rsidRPr="00000000">
        <w:rPr>
          <w:sz w:val="24"/>
          <w:szCs w:val="24"/>
          <w:rtl w:val="0"/>
        </w:rPr>
        <w:t xml:space="preserve">Support to improve the livelihood of local communities is very important as well as the economic development of the whole region. By promoting the revitalization of traditional activities and supporting their modernization through the introduction of modern and sustainable approaches/technologies, the BR can support the economic development of local communities, enterprises and businesses in production and service-oriented sectors (agriculture, forestry, tourism, etc.).</w:t>
      </w:r>
    </w:p>
    <w:p w:rsidR="00000000" w:rsidDel="00000000" w:rsidP="00000000" w:rsidRDefault="00000000" w:rsidRPr="00000000" w14:paraId="00000067">
      <w:pPr>
        <w:spacing w:line="276" w:lineRule="auto"/>
        <w:jc w:val="both"/>
        <w:rPr>
          <w:sz w:val="24"/>
          <w:szCs w:val="24"/>
        </w:rPr>
      </w:pPr>
      <w:r w:rsidDel="00000000" w:rsidR="00000000" w:rsidRPr="00000000">
        <w:rPr>
          <w:sz w:val="24"/>
          <w:szCs w:val="24"/>
          <w:rtl w:val="0"/>
        </w:rPr>
        <w:t xml:space="preserve">The following goals are defined for Three Alazani Rivers BR:</w:t>
      </w:r>
    </w:p>
    <w:p w:rsidR="00000000" w:rsidDel="00000000" w:rsidP="00000000" w:rsidRDefault="00000000" w:rsidRPr="00000000" w14:paraId="0000006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2"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Goal 1:</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High-conservation value of species of flora and fauna and the unique ecosystems of the BR are conserved and ecosystem services are ensured;</w:t>
      </w:r>
    </w:p>
    <w:p w:rsidR="00000000" w:rsidDel="00000000" w:rsidP="00000000" w:rsidRDefault="00000000" w:rsidRPr="00000000" w14:paraId="0000006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2"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Goal 2:</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Tangible and intangible cultural values of the BR are well preserved;</w:t>
      </w:r>
    </w:p>
    <w:p w:rsidR="00000000" w:rsidDel="00000000" w:rsidP="00000000" w:rsidRDefault="00000000" w:rsidRPr="00000000" w14:paraId="0000006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2"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Goal 3:</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Local communities and other stakeholders support the development of the BR, ensuring the sustainable use of natural </w:t>
      </w:r>
      <w:r w:rsidDel="00000000" w:rsidR="00000000" w:rsidRPr="00000000">
        <w:rPr>
          <w:sz w:val="24"/>
          <w:szCs w:val="24"/>
          <w:rtl w:val="0"/>
        </w:rPr>
        <w:t xml:space="preserve">resources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efficient and environmentally friendly economic activity and socially responsible behavior;</w:t>
      </w:r>
    </w:p>
    <w:p w:rsidR="00000000" w:rsidDel="00000000" w:rsidP="00000000" w:rsidRDefault="00000000" w:rsidRPr="00000000" w14:paraId="0000006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2"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Goal 4:</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The BR is regularly used for educational activities, thereby contributing to raising public awareness on biodiversity conservation, cultural values and sustainable resource use;</w:t>
      </w:r>
    </w:p>
    <w:p w:rsidR="00000000" w:rsidDel="00000000" w:rsidP="00000000" w:rsidRDefault="00000000" w:rsidRPr="00000000" w14:paraId="0000006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2"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Goal 5:</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Sustainable community-based tourism is promoted;</w:t>
      </w:r>
    </w:p>
    <w:p w:rsidR="00000000" w:rsidDel="00000000" w:rsidP="00000000" w:rsidRDefault="00000000" w:rsidRPr="00000000" w14:paraId="0000006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0" w:line="276" w:lineRule="auto"/>
        <w:ind w:left="722"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Goal 6:</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Research, survey and monitoring in the BR is supported and facilitated.</w:t>
      </w:r>
    </w:p>
    <w:p w:rsidR="00000000" w:rsidDel="00000000" w:rsidP="00000000" w:rsidRDefault="00000000" w:rsidRPr="00000000" w14:paraId="0000006E">
      <w:pPr>
        <w:spacing w:line="276" w:lineRule="auto"/>
        <w:jc w:val="both"/>
        <w:rPr>
          <w:sz w:val="24"/>
          <w:szCs w:val="24"/>
        </w:rPr>
      </w:pPr>
      <w:r w:rsidDel="00000000" w:rsidR="00000000" w:rsidRPr="00000000">
        <w:rPr>
          <w:sz w:val="24"/>
          <w:szCs w:val="24"/>
          <w:rtl w:val="0"/>
        </w:rPr>
        <w:t xml:space="preserve">The Biosphere Reserve extends over 199,944 ha. Approximately 13.8% is the core area and 37.7% is the buffer zone. The remaining landscape belongs to the transition area. All three zones are formed by diverse ecosystems and habitats as well as historic buildings and other places of cultural significance. Together, these will ensure the meeting of the long-term objectives of the Biosphere Reserve and the fulfillment of all three required functions. </w:t>
      </w:r>
    </w:p>
    <w:p w:rsidR="00000000" w:rsidDel="00000000" w:rsidP="00000000" w:rsidRDefault="00000000" w:rsidRPr="00000000" w14:paraId="0000006F">
      <w:pPr>
        <w:spacing w:line="276" w:lineRule="auto"/>
        <w:jc w:val="both"/>
        <w:rPr>
          <w:sz w:val="24"/>
          <w:szCs w:val="24"/>
        </w:rPr>
      </w:pPr>
      <w:r w:rsidDel="00000000" w:rsidR="00000000" w:rsidRPr="00000000">
        <w:rPr>
          <w:rtl w:val="0"/>
        </w:rPr>
      </w:r>
    </w:p>
    <w:p w:rsidR="00000000" w:rsidDel="00000000" w:rsidP="00000000" w:rsidRDefault="00000000" w:rsidRPr="00000000" w14:paraId="00000070">
      <w:pPr>
        <w:spacing w:line="276" w:lineRule="auto"/>
        <w:jc w:val="both"/>
        <w:rPr>
          <w:sz w:val="24"/>
          <w:szCs w:val="24"/>
        </w:rPr>
      </w:pPr>
      <w:r w:rsidDel="00000000" w:rsidR="00000000" w:rsidRPr="00000000">
        <w:rPr>
          <w:rtl w:val="0"/>
        </w:rPr>
      </w:r>
    </w:p>
    <w:p w:rsidR="00000000" w:rsidDel="00000000" w:rsidP="00000000" w:rsidRDefault="00000000" w:rsidRPr="00000000" w14:paraId="00000071">
      <w:pPr>
        <w:spacing w:line="276" w:lineRule="auto"/>
        <w:jc w:val="both"/>
        <w:rPr>
          <w:sz w:val="24"/>
          <w:szCs w:val="24"/>
        </w:rPr>
      </w:pPr>
      <w:r w:rsidDel="00000000" w:rsidR="00000000" w:rsidRPr="00000000">
        <w:rPr>
          <w:rtl w:val="0"/>
        </w:rPr>
      </w:r>
    </w:p>
    <w:p w:rsidR="00000000" w:rsidDel="00000000" w:rsidP="00000000" w:rsidRDefault="00000000" w:rsidRPr="00000000" w14:paraId="00000072">
      <w:pPr>
        <w:spacing w:line="276" w:lineRule="auto"/>
        <w:jc w:val="both"/>
        <w:rPr>
          <w:sz w:val="24"/>
          <w:szCs w:val="24"/>
        </w:rPr>
      </w:pPr>
      <w:r w:rsidDel="00000000" w:rsidR="00000000" w:rsidRPr="00000000">
        <w:rPr>
          <w:rtl w:val="0"/>
        </w:rPr>
      </w:r>
    </w:p>
    <w:p w:rsidR="00000000" w:rsidDel="00000000" w:rsidP="00000000" w:rsidRDefault="00000000" w:rsidRPr="00000000" w14:paraId="00000073">
      <w:pPr>
        <w:spacing w:line="276" w:lineRule="auto"/>
        <w:jc w:val="both"/>
        <w:rPr>
          <w:sz w:val="24"/>
          <w:szCs w:val="24"/>
        </w:rPr>
      </w:pPr>
      <w:r w:rsidDel="00000000" w:rsidR="00000000" w:rsidRPr="00000000">
        <w:rPr>
          <w:rtl w:val="0"/>
        </w:rPr>
      </w:r>
    </w:p>
    <w:p w:rsidR="00000000" w:rsidDel="00000000" w:rsidP="00000000" w:rsidRDefault="00000000" w:rsidRPr="00000000" w14:paraId="00000074">
      <w:pPr>
        <w:spacing w:line="276" w:lineRule="auto"/>
        <w:jc w:val="both"/>
        <w:rPr>
          <w:sz w:val="24"/>
          <w:szCs w:val="24"/>
        </w:rPr>
      </w:pPr>
      <w:r w:rsidDel="00000000" w:rsidR="00000000" w:rsidRPr="00000000">
        <w:rPr>
          <w:rtl w:val="0"/>
        </w:rPr>
      </w:r>
    </w:p>
    <w:p w:rsidR="00000000" w:rsidDel="00000000" w:rsidP="00000000" w:rsidRDefault="00000000" w:rsidRPr="00000000" w14:paraId="00000075">
      <w:pPr>
        <w:spacing w:line="276" w:lineRule="auto"/>
        <w:jc w:val="both"/>
        <w:rPr>
          <w:sz w:val="24"/>
          <w:szCs w:val="24"/>
        </w:rPr>
      </w:pPr>
      <w:r w:rsidDel="00000000" w:rsidR="00000000" w:rsidRPr="00000000">
        <w:rPr>
          <w:rtl w:val="0"/>
        </w:rPr>
      </w:r>
    </w:p>
    <w:p w:rsidR="00000000" w:rsidDel="00000000" w:rsidP="00000000" w:rsidRDefault="00000000" w:rsidRPr="00000000" w14:paraId="00000076">
      <w:pPr>
        <w:spacing w:line="276" w:lineRule="auto"/>
        <w:jc w:val="both"/>
        <w:rPr>
          <w:sz w:val="24"/>
          <w:szCs w:val="24"/>
        </w:rPr>
      </w:pPr>
      <w:r w:rsidDel="00000000" w:rsidR="00000000" w:rsidRPr="00000000">
        <w:rPr>
          <w:rtl w:val="0"/>
        </w:rPr>
      </w:r>
    </w:p>
    <w:p w:rsidR="00000000" w:rsidDel="00000000" w:rsidP="00000000" w:rsidRDefault="00000000" w:rsidRPr="00000000" w14:paraId="00000077">
      <w:pPr>
        <w:spacing w:line="276" w:lineRule="auto"/>
        <w:jc w:val="both"/>
        <w:rPr>
          <w:sz w:val="24"/>
          <w:szCs w:val="24"/>
        </w:rPr>
      </w:pP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1"/>
          <w:i w:val="1"/>
          <w:smallCaps w:val="0"/>
          <w:strike w:val="0"/>
          <w:color w:val="44546a"/>
          <w:sz w:val="24"/>
          <w:szCs w:val="24"/>
          <w:u w:val="none"/>
          <w:shd w:fill="auto" w:val="clear"/>
          <w:vertAlign w:val="baseline"/>
        </w:rPr>
      </w:pPr>
      <w:r w:rsidDel="00000000" w:rsidR="00000000" w:rsidRPr="00000000">
        <w:rPr>
          <w:rFonts w:ascii="Calibri" w:cs="Calibri" w:eastAsia="Calibri" w:hAnsi="Calibri"/>
          <w:b w:val="1"/>
          <w:i w:val="1"/>
          <w:smallCaps w:val="0"/>
          <w:strike w:val="0"/>
          <w:color w:val="44546a"/>
          <w:sz w:val="24"/>
          <w:szCs w:val="24"/>
          <w:u w:val="none"/>
          <w:shd w:fill="auto" w:val="clear"/>
          <w:vertAlign w:val="baseline"/>
          <w:rtl w:val="0"/>
        </w:rPr>
        <w:t xml:space="preserve">Map 2. Zonation of Three Alazani Rivers Biosphere Reserve. </w:t>
      </w:r>
    </w:p>
    <w:p w:rsidR="00000000" w:rsidDel="00000000" w:rsidP="00000000" w:rsidRDefault="00000000" w:rsidRPr="00000000" w14:paraId="00000079">
      <w:pPr>
        <w:spacing w:line="276" w:lineRule="auto"/>
        <w:jc w:val="both"/>
        <w:rPr>
          <w:sz w:val="24"/>
          <w:szCs w:val="24"/>
        </w:rPr>
      </w:pPr>
      <w:r w:rsidDel="00000000" w:rsidR="00000000" w:rsidRPr="00000000">
        <w:rPr>
          <w:sz w:val="24"/>
          <w:szCs w:val="24"/>
        </w:rPr>
        <w:drawing>
          <wp:inline distB="0" distT="0" distL="0" distR="0">
            <wp:extent cx="4450688" cy="3839453"/>
            <wp:effectExtent b="0" l="0" r="0" t="0"/>
            <wp:docPr id="1809925285"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4450688" cy="3839453"/>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spacing w:line="276" w:lineRule="auto"/>
        <w:jc w:val="both"/>
        <w:rPr>
          <w:sz w:val="24"/>
          <w:szCs w:val="24"/>
        </w:rPr>
      </w:pPr>
      <w:r w:rsidDel="00000000" w:rsidR="00000000" w:rsidRPr="00000000">
        <w:rPr>
          <w:b w:val="1"/>
          <w:sz w:val="24"/>
          <w:szCs w:val="24"/>
          <w:rtl w:val="0"/>
        </w:rPr>
        <w:t xml:space="preserve">The core zone</w:t>
      </w:r>
      <w:r w:rsidDel="00000000" w:rsidR="00000000" w:rsidRPr="00000000">
        <w:rPr>
          <w:sz w:val="24"/>
          <w:szCs w:val="24"/>
          <w:rtl w:val="0"/>
        </w:rPr>
        <w:t xml:space="preserve"> - spanning 27,661 hectares, is strictly dedicated to nature protection. Only non-manipulative scientific observation is permitted within this zone.</w:t>
      </w:r>
    </w:p>
    <w:p w:rsidR="00000000" w:rsidDel="00000000" w:rsidP="00000000" w:rsidRDefault="00000000" w:rsidRPr="00000000" w14:paraId="0000007B">
      <w:pPr>
        <w:spacing w:line="276" w:lineRule="auto"/>
        <w:jc w:val="both"/>
        <w:rPr>
          <w:sz w:val="24"/>
          <w:szCs w:val="24"/>
        </w:rPr>
      </w:pPr>
      <w:r w:rsidDel="00000000" w:rsidR="00000000" w:rsidRPr="00000000">
        <w:rPr>
          <w:sz w:val="24"/>
          <w:szCs w:val="24"/>
          <w:rtl w:val="0"/>
        </w:rPr>
        <w:t xml:space="preserve">Core zones are covered by legislation and specific regulations that apply to the respective protected areas, the Strict Nature Reserve (IUCN Cat I), the Strict Nature Protection Zone of the National Park (IUCN Cat II), the Habitat/Species Management Area (IUCN Cat IV) and the Protection Zone of the.  Protected Landscape (IUCN Cat V) and the state border area</w:t>
      </w:r>
      <w:r w:rsidDel="00000000" w:rsidR="00000000" w:rsidRPr="00000000">
        <w:rPr>
          <w:sz w:val="24"/>
          <w:szCs w:val="24"/>
          <w:vertAlign w:val="superscript"/>
        </w:rPr>
        <w:footnoteReference w:customMarkFollows="0" w:id="0"/>
      </w:r>
      <w:r w:rsidDel="00000000" w:rsidR="00000000" w:rsidRPr="00000000">
        <w:rPr>
          <w:sz w:val="24"/>
          <w:szCs w:val="24"/>
          <w:rtl w:val="0"/>
        </w:rPr>
        <w:t xml:space="preserve">. Customary laws also protect some forest area, the so-called “sacred forests. </w:t>
      </w:r>
    </w:p>
    <w:p w:rsidR="00000000" w:rsidDel="00000000" w:rsidP="00000000" w:rsidRDefault="00000000" w:rsidRPr="00000000" w14:paraId="0000007C">
      <w:pPr>
        <w:spacing w:line="276" w:lineRule="auto"/>
        <w:jc w:val="both"/>
        <w:rPr>
          <w:sz w:val="24"/>
          <w:szCs w:val="24"/>
        </w:rPr>
      </w:pPr>
      <w:r w:rsidDel="00000000" w:rsidR="00000000" w:rsidRPr="00000000">
        <w:rPr>
          <w:rtl w:val="0"/>
        </w:rPr>
      </w:r>
    </w:p>
    <w:p w:rsidR="00000000" w:rsidDel="00000000" w:rsidP="00000000" w:rsidRDefault="00000000" w:rsidRPr="00000000" w14:paraId="0000007D">
      <w:pPr>
        <w:spacing w:line="276" w:lineRule="auto"/>
        <w:jc w:val="both"/>
        <w:rPr>
          <w:sz w:val="24"/>
          <w:szCs w:val="24"/>
        </w:rPr>
      </w:pPr>
      <w:r w:rsidDel="00000000" w:rsidR="00000000" w:rsidRPr="00000000">
        <w:rPr>
          <w:rtl w:val="0"/>
        </w:rPr>
      </w:r>
    </w:p>
    <w:p w:rsidR="00000000" w:rsidDel="00000000" w:rsidP="00000000" w:rsidRDefault="00000000" w:rsidRPr="00000000" w14:paraId="0000007E">
      <w:pPr>
        <w:spacing w:line="276" w:lineRule="auto"/>
        <w:jc w:val="both"/>
        <w:rPr>
          <w:sz w:val="24"/>
          <w:szCs w:val="24"/>
        </w:rPr>
      </w:pP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1"/>
          <w:i w:val="1"/>
          <w:smallCaps w:val="0"/>
          <w:strike w:val="0"/>
          <w:color w:val="44546a"/>
          <w:sz w:val="24"/>
          <w:szCs w:val="24"/>
          <w:u w:val="none"/>
          <w:shd w:fill="auto" w:val="clear"/>
          <w:vertAlign w:val="baseline"/>
        </w:rPr>
      </w:pPr>
      <w:r w:rsidDel="00000000" w:rsidR="00000000" w:rsidRPr="00000000">
        <w:rPr>
          <w:rFonts w:ascii="Calibri" w:cs="Calibri" w:eastAsia="Calibri" w:hAnsi="Calibri"/>
          <w:b w:val="1"/>
          <w:i w:val="1"/>
          <w:smallCaps w:val="0"/>
          <w:strike w:val="0"/>
          <w:color w:val="44546a"/>
          <w:sz w:val="24"/>
          <w:szCs w:val="24"/>
          <w:u w:val="none"/>
          <w:shd w:fill="auto" w:val="clear"/>
          <w:vertAlign w:val="baseline"/>
          <w:rtl w:val="0"/>
        </w:rPr>
        <w:t xml:space="preserve">Table 1. Core Areas of the Proposed Biosphere Reserve</w:t>
      </w:r>
    </w:p>
    <w:tbl>
      <w:tblPr>
        <w:tblStyle w:val="Table3"/>
        <w:tblW w:w="8971.000000000002"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07"/>
        <w:gridCol w:w="2386"/>
        <w:gridCol w:w="1260"/>
        <w:gridCol w:w="1134"/>
        <w:gridCol w:w="1276"/>
        <w:gridCol w:w="2308"/>
        <w:tblGridChange w:id="0">
          <w:tblGrid>
            <w:gridCol w:w="607"/>
            <w:gridCol w:w="2386"/>
            <w:gridCol w:w="1260"/>
            <w:gridCol w:w="1134"/>
            <w:gridCol w:w="1276"/>
            <w:gridCol w:w="2308"/>
          </w:tblGrid>
        </w:tblGridChange>
      </w:tblGrid>
      <w:tr>
        <w:trPr>
          <w:cantSplit w:val="0"/>
          <w:trHeight w:val="571" w:hRule="atLeast"/>
          <w:tblHeader w:val="0"/>
        </w:trPr>
        <w:tc>
          <w:tcPr/>
          <w:p w:rsidR="00000000" w:rsidDel="00000000" w:rsidP="00000000" w:rsidRDefault="00000000" w:rsidRPr="00000000" w14:paraId="00000080">
            <w:pPr>
              <w:pBdr>
                <w:top w:space="0" w:sz="0" w:val="nil"/>
                <w:left w:space="0" w:sz="0" w:val="nil"/>
                <w:bottom w:space="0" w:sz="0" w:val="nil"/>
                <w:right w:space="0" w:sz="0" w:val="nil"/>
                <w:between w:space="0" w:sz="0" w:val="nil"/>
              </w:pBdr>
              <w:spacing w:before="0" w:lineRule="auto"/>
              <w:ind w:hanging="2"/>
              <w:jc w:val="center"/>
              <w:rPr>
                <w:color w:val="000000"/>
                <w:sz w:val="24"/>
                <w:szCs w:val="24"/>
              </w:rPr>
            </w:pPr>
            <w:r w:rsidDel="00000000" w:rsidR="00000000" w:rsidRPr="00000000">
              <w:rPr>
                <w:color w:val="000000"/>
                <w:sz w:val="24"/>
                <w:szCs w:val="24"/>
                <w:rtl w:val="0"/>
              </w:rPr>
              <w:t xml:space="preserve">#</w:t>
            </w:r>
          </w:p>
        </w:tc>
        <w:tc>
          <w:tcPr/>
          <w:p w:rsidR="00000000" w:rsidDel="00000000" w:rsidP="00000000" w:rsidRDefault="00000000" w:rsidRPr="00000000" w14:paraId="00000081">
            <w:pPr>
              <w:pBdr>
                <w:top w:space="0" w:sz="0" w:val="nil"/>
                <w:left w:space="0" w:sz="0" w:val="nil"/>
                <w:bottom w:space="0" w:sz="0" w:val="nil"/>
                <w:right w:space="0" w:sz="0" w:val="nil"/>
                <w:between w:space="0" w:sz="0" w:val="nil"/>
              </w:pBdr>
              <w:spacing w:before="0" w:lineRule="auto"/>
              <w:ind w:hanging="2"/>
              <w:jc w:val="center"/>
              <w:rPr>
                <w:color w:val="000000"/>
                <w:sz w:val="24"/>
                <w:szCs w:val="24"/>
              </w:rPr>
            </w:pPr>
            <w:r w:rsidDel="00000000" w:rsidR="00000000" w:rsidRPr="00000000">
              <w:rPr>
                <w:b w:val="1"/>
                <w:color w:val="000000"/>
                <w:sz w:val="24"/>
                <w:szCs w:val="24"/>
                <w:rtl w:val="0"/>
              </w:rPr>
              <w:t xml:space="preserve">Name of Protected Area</w:t>
            </w:r>
            <w:r w:rsidDel="00000000" w:rsidR="00000000" w:rsidRPr="00000000">
              <w:rPr>
                <w:rtl w:val="0"/>
              </w:rPr>
            </w:r>
          </w:p>
        </w:tc>
        <w:tc>
          <w:tcPr/>
          <w:p w:rsidR="00000000" w:rsidDel="00000000" w:rsidP="00000000" w:rsidRDefault="00000000" w:rsidRPr="00000000" w14:paraId="00000082">
            <w:pPr>
              <w:pBdr>
                <w:top w:space="0" w:sz="0" w:val="nil"/>
                <w:left w:space="0" w:sz="0" w:val="nil"/>
                <w:bottom w:space="0" w:sz="0" w:val="nil"/>
                <w:right w:space="0" w:sz="0" w:val="nil"/>
                <w:between w:space="0" w:sz="0" w:val="nil"/>
              </w:pBdr>
              <w:spacing w:before="0" w:lineRule="auto"/>
              <w:ind w:hanging="2"/>
              <w:jc w:val="center"/>
              <w:rPr>
                <w:color w:val="000000"/>
                <w:sz w:val="24"/>
                <w:szCs w:val="24"/>
              </w:rPr>
            </w:pPr>
            <w:r w:rsidDel="00000000" w:rsidR="00000000" w:rsidRPr="00000000">
              <w:rPr>
                <w:b w:val="1"/>
                <w:color w:val="000000"/>
                <w:sz w:val="24"/>
                <w:szCs w:val="24"/>
                <w:rtl w:val="0"/>
              </w:rPr>
              <w:t xml:space="preserve">Total area (ha)</w:t>
            </w:r>
            <w:r w:rsidDel="00000000" w:rsidR="00000000" w:rsidRPr="00000000">
              <w:rPr>
                <w:rtl w:val="0"/>
              </w:rPr>
            </w:r>
          </w:p>
        </w:tc>
        <w:tc>
          <w:tcPr/>
          <w:p w:rsidR="00000000" w:rsidDel="00000000" w:rsidP="00000000" w:rsidRDefault="00000000" w:rsidRPr="00000000" w14:paraId="00000083">
            <w:pPr>
              <w:pBdr>
                <w:top w:space="0" w:sz="0" w:val="nil"/>
                <w:left w:space="0" w:sz="0" w:val="nil"/>
                <w:bottom w:space="0" w:sz="0" w:val="nil"/>
                <w:right w:space="0" w:sz="0" w:val="nil"/>
                <w:between w:space="0" w:sz="0" w:val="nil"/>
              </w:pBdr>
              <w:spacing w:before="0" w:lineRule="auto"/>
              <w:ind w:hanging="2"/>
              <w:jc w:val="center"/>
              <w:rPr>
                <w:color w:val="000000"/>
                <w:sz w:val="24"/>
                <w:szCs w:val="24"/>
                <w:highlight w:val="yellow"/>
              </w:rPr>
            </w:pPr>
            <w:r w:rsidDel="00000000" w:rsidR="00000000" w:rsidRPr="00000000">
              <w:rPr>
                <w:b w:val="1"/>
                <w:color w:val="000000"/>
                <w:sz w:val="24"/>
                <w:szCs w:val="24"/>
                <w:rtl w:val="0"/>
              </w:rPr>
              <w:t xml:space="preserve">BR core area (ha)</w:t>
            </w:r>
            <w:r w:rsidDel="00000000" w:rsidR="00000000" w:rsidRPr="00000000">
              <w:rPr>
                <w:rtl w:val="0"/>
              </w:rPr>
            </w:r>
          </w:p>
        </w:tc>
        <w:tc>
          <w:tcPr/>
          <w:p w:rsidR="00000000" w:rsidDel="00000000" w:rsidP="00000000" w:rsidRDefault="00000000" w:rsidRPr="00000000" w14:paraId="00000084">
            <w:pPr>
              <w:pBdr>
                <w:top w:space="0" w:sz="0" w:val="nil"/>
                <w:left w:space="0" w:sz="0" w:val="nil"/>
                <w:bottom w:space="0" w:sz="0" w:val="nil"/>
                <w:right w:space="0" w:sz="0" w:val="nil"/>
                <w:between w:space="0" w:sz="0" w:val="nil"/>
              </w:pBdr>
              <w:spacing w:before="0" w:lineRule="auto"/>
              <w:ind w:hanging="2"/>
              <w:jc w:val="center"/>
              <w:rPr>
                <w:color w:val="000000"/>
                <w:sz w:val="24"/>
                <w:szCs w:val="24"/>
              </w:rPr>
            </w:pPr>
            <w:r w:rsidDel="00000000" w:rsidR="00000000" w:rsidRPr="00000000">
              <w:rPr>
                <w:b w:val="1"/>
                <w:color w:val="000000"/>
                <w:sz w:val="24"/>
                <w:szCs w:val="24"/>
                <w:rtl w:val="0"/>
              </w:rPr>
              <w:t xml:space="preserve">IUNC Category</w:t>
            </w:r>
            <w:r w:rsidDel="00000000" w:rsidR="00000000" w:rsidRPr="00000000">
              <w:rPr>
                <w:rtl w:val="0"/>
              </w:rPr>
            </w:r>
          </w:p>
        </w:tc>
        <w:tc>
          <w:tcPr/>
          <w:p w:rsidR="00000000" w:rsidDel="00000000" w:rsidP="00000000" w:rsidRDefault="00000000" w:rsidRPr="00000000" w14:paraId="00000085">
            <w:pPr>
              <w:pBdr>
                <w:top w:space="0" w:sz="0" w:val="nil"/>
                <w:left w:space="0" w:sz="0" w:val="nil"/>
                <w:bottom w:space="0" w:sz="0" w:val="nil"/>
                <w:right w:space="0" w:sz="0" w:val="nil"/>
                <w:between w:space="0" w:sz="0" w:val="nil"/>
              </w:pBdr>
              <w:spacing w:before="0" w:lineRule="auto"/>
              <w:ind w:hanging="2"/>
              <w:jc w:val="center"/>
              <w:rPr>
                <w:color w:val="000000"/>
                <w:sz w:val="24"/>
                <w:szCs w:val="24"/>
              </w:rPr>
            </w:pPr>
            <w:r w:rsidDel="00000000" w:rsidR="00000000" w:rsidRPr="00000000">
              <w:rPr>
                <w:b w:val="1"/>
                <w:color w:val="000000"/>
                <w:sz w:val="24"/>
                <w:szCs w:val="24"/>
                <w:rtl w:val="0"/>
              </w:rPr>
              <w:t xml:space="preserve">Management</w:t>
            </w:r>
            <w:r w:rsidDel="00000000" w:rsidR="00000000" w:rsidRPr="00000000">
              <w:rPr>
                <w:rtl w:val="0"/>
              </w:rPr>
            </w:r>
          </w:p>
        </w:tc>
      </w:tr>
      <w:tr>
        <w:trPr>
          <w:cantSplit w:val="0"/>
          <w:trHeight w:val="498" w:hRule="atLeast"/>
          <w:tblHeader w:val="0"/>
        </w:trPr>
        <w:tc>
          <w:tcPr/>
          <w:p w:rsidR="00000000" w:rsidDel="00000000" w:rsidP="00000000" w:rsidRDefault="00000000" w:rsidRPr="00000000" w14:paraId="00000086">
            <w:pPr>
              <w:pBdr>
                <w:top w:space="0" w:sz="0" w:val="nil"/>
                <w:left w:space="0" w:sz="0" w:val="nil"/>
                <w:bottom w:space="0" w:sz="0" w:val="nil"/>
                <w:right w:space="0" w:sz="0" w:val="nil"/>
                <w:between w:space="0" w:sz="0" w:val="nil"/>
              </w:pBdr>
              <w:spacing w:after="0" w:before="0" w:lineRule="auto"/>
              <w:ind w:hanging="2"/>
              <w:rPr>
                <w:color w:val="000000"/>
                <w:sz w:val="24"/>
                <w:szCs w:val="24"/>
              </w:rPr>
            </w:pPr>
            <w:r w:rsidDel="00000000" w:rsidR="00000000" w:rsidRPr="00000000">
              <w:rPr>
                <w:color w:val="000000"/>
                <w:sz w:val="24"/>
                <w:szCs w:val="24"/>
                <w:rtl w:val="0"/>
              </w:rPr>
              <w:t xml:space="preserve">1</w:t>
            </w:r>
          </w:p>
        </w:tc>
        <w:tc>
          <w:tcPr/>
          <w:p w:rsidR="00000000" w:rsidDel="00000000" w:rsidP="00000000" w:rsidRDefault="00000000" w:rsidRPr="00000000" w14:paraId="00000087">
            <w:pPr>
              <w:pBdr>
                <w:top w:space="0" w:sz="0" w:val="nil"/>
                <w:left w:space="0" w:sz="0" w:val="nil"/>
                <w:bottom w:space="0" w:sz="0" w:val="nil"/>
                <w:right w:space="0" w:sz="0" w:val="nil"/>
                <w:between w:space="0" w:sz="0" w:val="nil"/>
              </w:pBdr>
              <w:spacing w:after="0" w:before="0" w:lineRule="auto"/>
              <w:ind w:hanging="2"/>
              <w:rPr>
                <w:color w:val="000000"/>
                <w:sz w:val="24"/>
                <w:szCs w:val="24"/>
              </w:rPr>
            </w:pPr>
            <w:r w:rsidDel="00000000" w:rsidR="00000000" w:rsidRPr="00000000">
              <w:rPr>
                <w:color w:val="000000"/>
                <w:sz w:val="24"/>
                <w:szCs w:val="24"/>
                <w:rtl w:val="0"/>
              </w:rPr>
              <w:t xml:space="preserve">Tusheti Strict Nature Reserve (IUCN Cat.I)</w:t>
            </w:r>
          </w:p>
        </w:tc>
        <w:tc>
          <w:tcPr/>
          <w:p w:rsidR="00000000" w:rsidDel="00000000" w:rsidP="00000000" w:rsidRDefault="00000000" w:rsidRPr="00000000" w14:paraId="00000088">
            <w:pPr>
              <w:pBdr>
                <w:top w:space="0" w:sz="0" w:val="nil"/>
                <w:left w:space="0" w:sz="0" w:val="nil"/>
                <w:bottom w:space="0" w:sz="0" w:val="nil"/>
                <w:right w:space="0" w:sz="0" w:val="nil"/>
                <w:between w:space="0" w:sz="0" w:val="nil"/>
              </w:pBdr>
              <w:spacing w:after="0" w:before="0" w:lineRule="auto"/>
              <w:ind w:hanging="2"/>
              <w:jc w:val="center"/>
              <w:rPr>
                <w:color w:val="000000"/>
                <w:sz w:val="24"/>
                <w:szCs w:val="24"/>
              </w:rPr>
            </w:pPr>
            <w:r w:rsidDel="00000000" w:rsidR="00000000" w:rsidRPr="00000000">
              <w:rPr>
                <w:color w:val="000000"/>
                <w:sz w:val="24"/>
                <w:szCs w:val="24"/>
                <w:rtl w:val="0"/>
              </w:rPr>
              <w:t xml:space="preserve">12 627,2</w:t>
            </w:r>
          </w:p>
        </w:tc>
        <w:tc>
          <w:tcPr/>
          <w:p w:rsidR="00000000" w:rsidDel="00000000" w:rsidP="00000000" w:rsidRDefault="00000000" w:rsidRPr="00000000" w14:paraId="00000089">
            <w:pPr>
              <w:pBdr>
                <w:top w:space="0" w:sz="0" w:val="nil"/>
                <w:left w:space="0" w:sz="0" w:val="nil"/>
                <w:bottom w:space="0" w:sz="0" w:val="nil"/>
                <w:right w:space="0" w:sz="0" w:val="nil"/>
                <w:between w:space="0" w:sz="0" w:val="nil"/>
              </w:pBdr>
              <w:spacing w:after="0" w:before="0" w:lineRule="auto"/>
              <w:ind w:hanging="2"/>
              <w:jc w:val="center"/>
              <w:rPr>
                <w:color w:val="000000"/>
                <w:sz w:val="24"/>
                <w:szCs w:val="24"/>
              </w:rPr>
            </w:pPr>
            <w:r w:rsidDel="00000000" w:rsidR="00000000" w:rsidRPr="00000000">
              <w:rPr>
                <w:color w:val="000000"/>
                <w:sz w:val="24"/>
                <w:szCs w:val="24"/>
                <w:rtl w:val="0"/>
              </w:rPr>
              <w:t xml:space="preserve">10 246</w:t>
            </w:r>
          </w:p>
        </w:tc>
        <w:tc>
          <w:tcPr/>
          <w:p w:rsidR="00000000" w:rsidDel="00000000" w:rsidP="00000000" w:rsidRDefault="00000000" w:rsidRPr="00000000" w14:paraId="0000008A">
            <w:pPr>
              <w:pBdr>
                <w:top w:space="0" w:sz="0" w:val="nil"/>
                <w:left w:space="0" w:sz="0" w:val="nil"/>
                <w:bottom w:space="0" w:sz="0" w:val="nil"/>
                <w:right w:space="0" w:sz="0" w:val="nil"/>
                <w:between w:space="0" w:sz="0" w:val="nil"/>
              </w:pBdr>
              <w:spacing w:after="0" w:before="0" w:lineRule="auto"/>
              <w:ind w:hanging="2"/>
              <w:jc w:val="center"/>
              <w:rPr>
                <w:color w:val="000000"/>
                <w:sz w:val="24"/>
                <w:szCs w:val="24"/>
              </w:rPr>
            </w:pPr>
            <w:r w:rsidDel="00000000" w:rsidR="00000000" w:rsidRPr="00000000">
              <w:rPr>
                <w:color w:val="000000"/>
                <w:sz w:val="24"/>
                <w:szCs w:val="24"/>
                <w:rtl w:val="0"/>
              </w:rPr>
              <w:t xml:space="preserve">I</w:t>
            </w:r>
          </w:p>
        </w:tc>
        <w:tc>
          <w:tcPr/>
          <w:p w:rsidR="00000000" w:rsidDel="00000000" w:rsidP="00000000" w:rsidRDefault="00000000" w:rsidRPr="00000000" w14:paraId="0000008B">
            <w:pPr>
              <w:pBdr>
                <w:top w:space="0" w:sz="0" w:val="nil"/>
                <w:left w:space="0" w:sz="0" w:val="nil"/>
                <w:bottom w:space="0" w:sz="0" w:val="nil"/>
                <w:right w:space="0" w:sz="0" w:val="nil"/>
                <w:between w:space="0" w:sz="0" w:val="nil"/>
              </w:pBdr>
              <w:spacing w:after="0" w:before="0" w:lineRule="auto"/>
              <w:jc w:val="both"/>
              <w:rPr>
                <w:color w:val="000000"/>
                <w:sz w:val="24"/>
                <w:szCs w:val="24"/>
              </w:rPr>
            </w:pPr>
            <w:r w:rsidDel="00000000" w:rsidR="00000000" w:rsidRPr="00000000">
              <w:rPr>
                <w:color w:val="000000"/>
                <w:sz w:val="24"/>
                <w:szCs w:val="24"/>
                <w:rtl w:val="0"/>
              </w:rPr>
              <w:t xml:space="preserve">Managed by </w:t>
            </w:r>
            <w:r w:rsidDel="00000000" w:rsidR="00000000" w:rsidRPr="00000000">
              <w:rPr>
                <w:sz w:val="24"/>
                <w:szCs w:val="24"/>
                <w:rtl w:val="0"/>
              </w:rPr>
              <w:t xml:space="preserve">the </w:t>
            </w:r>
            <w:r w:rsidDel="00000000" w:rsidR="00000000" w:rsidRPr="00000000">
              <w:rPr>
                <w:color w:val="000000"/>
                <w:sz w:val="24"/>
                <w:szCs w:val="24"/>
                <w:rtl w:val="0"/>
              </w:rPr>
              <w:t xml:space="preserve">Agency of Protected Areas </w:t>
            </w:r>
          </w:p>
        </w:tc>
      </w:tr>
      <w:tr>
        <w:trPr>
          <w:cantSplit w:val="0"/>
          <w:trHeight w:val="555" w:hRule="atLeast"/>
          <w:tblHeader w:val="0"/>
        </w:trPr>
        <w:tc>
          <w:tcPr/>
          <w:p w:rsidR="00000000" w:rsidDel="00000000" w:rsidP="00000000" w:rsidRDefault="00000000" w:rsidRPr="00000000" w14:paraId="0000008C">
            <w:pPr>
              <w:pBdr>
                <w:top w:space="0" w:sz="0" w:val="nil"/>
                <w:left w:space="0" w:sz="0" w:val="nil"/>
                <w:bottom w:space="0" w:sz="0" w:val="nil"/>
                <w:right w:space="0" w:sz="0" w:val="nil"/>
                <w:between w:space="0" w:sz="0" w:val="nil"/>
              </w:pBdr>
              <w:spacing w:after="0" w:before="0" w:lineRule="auto"/>
              <w:ind w:hanging="2"/>
              <w:rPr>
                <w:color w:val="000000"/>
                <w:sz w:val="24"/>
                <w:szCs w:val="24"/>
              </w:rPr>
            </w:pPr>
            <w:r w:rsidDel="00000000" w:rsidR="00000000" w:rsidRPr="00000000">
              <w:rPr>
                <w:color w:val="000000"/>
                <w:sz w:val="24"/>
                <w:szCs w:val="24"/>
                <w:rtl w:val="0"/>
              </w:rPr>
              <w:t xml:space="preserve">2</w:t>
            </w:r>
          </w:p>
        </w:tc>
        <w:tc>
          <w:tcPr/>
          <w:p w:rsidR="00000000" w:rsidDel="00000000" w:rsidP="00000000" w:rsidRDefault="00000000" w:rsidRPr="00000000" w14:paraId="0000008D">
            <w:pPr>
              <w:pBdr>
                <w:top w:space="0" w:sz="0" w:val="nil"/>
                <w:left w:space="0" w:sz="0" w:val="nil"/>
                <w:bottom w:space="0" w:sz="0" w:val="nil"/>
                <w:right w:space="0" w:sz="0" w:val="nil"/>
                <w:between w:space="0" w:sz="0" w:val="nil"/>
              </w:pBdr>
              <w:spacing w:after="0" w:before="0" w:lineRule="auto"/>
              <w:ind w:hanging="2"/>
              <w:rPr>
                <w:color w:val="000000"/>
                <w:sz w:val="24"/>
                <w:szCs w:val="24"/>
              </w:rPr>
            </w:pPr>
            <w:r w:rsidDel="00000000" w:rsidR="00000000" w:rsidRPr="00000000">
              <w:rPr>
                <w:color w:val="000000"/>
                <w:sz w:val="24"/>
                <w:szCs w:val="24"/>
                <w:rtl w:val="0"/>
              </w:rPr>
              <w:t xml:space="preserve">Tusheti National Park (IUCN Cat.II)</w:t>
            </w:r>
          </w:p>
        </w:tc>
        <w:tc>
          <w:tcPr/>
          <w:p w:rsidR="00000000" w:rsidDel="00000000" w:rsidP="00000000" w:rsidRDefault="00000000" w:rsidRPr="00000000" w14:paraId="0000008E">
            <w:pPr>
              <w:pBdr>
                <w:top w:space="0" w:sz="0" w:val="nil"/>
                <w:left w:space="0" w:sz="0" w:val="nil"/>
                <w:bottom w:space="0" w:sz="0" w:val="nil"/>
                <w:right w:space="0" w:sz="0" w:val="nil"/>
                <w:between w:space="0" w:sz="0" w:val="nil"/>
              </w:pBdr>
              <w:spacing w:after="0" w:before="0" w:lineRule="auto"/>
              <w:ind w:hanging="2"/>
              <w:jc w:val="center"/>
              <w:rPr>
                <w:color w:val="000000"/>
                <w:sz w:val="24"/>
                <w:szCs w:val="24"/>
              </w:rPr>
            </w:pPr>
            <w:r w:rsidDel="00000000" w:rsidR="00000000" w:rsidRPr="00000000">
              <w:rPr>
                <w:color w:val="000000"/>
                <w:sz w:val="24"/>
                <w:szCs w:val="24"/>
                <w:rtl w:val="0"/>
              </w:rPr>
              <w:t xml:space="preserve">69 515</w:t>
            </w:r>
          </w:p>
        </w:tc>
        <w:tc>
          <w:tcPr/>
          <w:p w:rsidR="00000000" w:rsidDel="00000000" w:rsidP="00000000" w:rsidRDefault="00000000" w:rsidRPr="00000000" w14:paraId="0000008F">
            <w:pPr>
              <w:pBdr>
                <w:top w:space="0" w:sz="0" w:val="nil"/>
                <w:left w:space="0" w:sz="0" w:val="nil"/>
                <w:bottom w:space="0" w:sz="0" w:val="nil"/>
                <w:right w:space="0" w:sz="0" w:val="nil"/>
                <w:between w:space="0" w:sz="0" w:val="nil"/>
              </w:pBdr>
              <w:spacing w:after="0" w:before="0" w:lineRule="auto"/>
              <w:ind w:hanging="2"/>
              <w:jc w:val="center"/>
              <w:rPr>
                <w:color w:val="000000"/>
                <w:sz w:val="24"/>
                <w:szCs w:val="24"/>
              </w:rPr>
            </w:pPr>
            <w:r w:rsidDel="00000000" w:rsidR="00000000" w:rsidRPr="00000000">
              <w:rPr>
                <w:color w:val="000000"/>
                <w:sz w:val="24"/>
                <w:szCs w:val="24"/>
                <w:rtl w:val="0"/>
              </w:rPr>
              <w:t xml:space="preserve">12 565</w:t>
            </w:r>
          </w:p>
          <w:p w:rsidR="00000000" w:rsidDel="00000000" w:rsidP="00000000" w:rsidRDefault="00000000" w:rsidRPr="00000000" w14:paraId="00000090">
            <w:pPr>
              <w:pBdr>
                <w:top w:space="0" w:sz="0" w:val="nil"/>
                <w:left w:space="0" w:sz="0" w:val="nil"/>
                <w:bottom w:space="0" w:sz="0" w:val="nil"/>
                <w:right w:space="0" w:sz="0" w:val="nil"/>
                <w:between w:space="0" w:sz="0" w:val="nil"/>
              </w:pBdr>
              <w:spacing w:after="0" w:before="0" w:lineRule="auto"/>
              <w:ind w:hanging="2"/>
              <w:jc w:val="center"/>
              <w:rPr>
                <w:color w:val="000000"/>
                <w:sz w:val="24"/>
                <w:szCs w:val="24"/>
                <w:highlight w:val="yellow"/>
              </w:rPr>
            </w:pPr>
            <w:r w:rsidDel="00000000" w:rsidR="00000000" w:rsidRPr="00000000">
              <w:rPr>
                <w:rtl w:val="0"/>
              </w:rPr>
            </w:r>
          </w:p>
        </w:tc>
        <w:tc>
          <w:tcPr/>
          <w:p w:rsidR="00000000" w:rsidDel="00000000" w:rsidP="00000000" w:rsidRDefault="00000000" w:rsidRPr="00000000" w14:paraId="00000091">
            <w:pPr>
              <w:pBdr>
                <w:top w:space="0" w:sz="0" w:val="nil"/>
                <w:left w:space="0" w:sz="0" w:val="nil"/>
                <w:bottom w:space="0" w:sz="0" w:val="nil"/>
                <w:right w:space="0" w:sz="0" w:val="nil"/>
                <w:between w:space="0" w:sz="0" w:val="nil"/>
              </w:pBdr>
              <w:spacing w:after="0" w:before="0" w:lineRule="auto"/>
              <w:ind w:hanging="2"/>
              <w:jc w:val="center"/>
              <w:rPr>
                <w:color w:val="000000"/>
                <w:sz w:val="24"/>
                <w:szCs w:val="24"/>
              </w:rPr>
            </w:pPr>
            <w:r w:rsidDel="00000000" w:rsidR="00000000" w:rsidRPr="00000000">
              <w:rPr>
                <w:color w:val="000000"/>
                <w:sz w:val="24"/>
                <w:szCs w:val="24"/>
                <w:rtl w:val="0"/>
              </w:rPr>
              <w:t xml:space="preserve">II</w:t>
            </w:r>
          </w:p>
        </w:tc>
        <w:tc>
          <w:tcPr/>
          <w:p w:rsidR="00000000" w:rsidDel="00000000" w:rsidP="00000000" w:rsidRDefault="00000000" w:rsidRPr="00000000" w14:paraId="00000092">
            <w:pPr>
              <w:spacing w:after="0" w:before="0" w:lineRule="auto"/>
              <w:jc w:val="both"/>
              <w:rPr>
                <w:sz w:val="24"/>
                <w:szCs w:val="24"/>
              </w:rPr>
            </w:pPr>
            <w:r w:rsidDel="00000000" w:rsidR="00000000" w:rsidRPr="00000000">
              <w:rPr>
                <w:color w:val="000000"/>
                <w:sz w:val="24"/>
                <w:szCs w:val="24"/>
                <w:rtl w:val="0"/>
              </w:rPr>
              <w:t xml:space="preserve">Managed by </w:t>
            </w:r>
            <w:r w:rsidDel="00000000" w:rsidR="00000000" w:rsidRPr="00000000">
              <w:rPr>
                <w:sz w:val="24"/>
                <w:szCs w:val="24"/>
                <w:rtl w:val="0"/>
              </w:rPr>
              <w:t xml:space="preserve">the </w:t>
            </w:r>
            <w:r w:rsidDel="00000000" w:rsidR="00000000" w:rsidRPr="00000000">
              <w:rPr>
                <w:color w:val="000000"/>
                <w:sz w:val="24"/>
                <w:szCs w:val="24"/>
                <w:rtl w:val="0"/>
              </w:rPr>
              <w:t xml:space="preserve">Agency of Protected Areas</w:t>
            </w:r>
            <w:r w:rsidDel="00000000" w:rsidR="00000000" w:rsidRPr="00000000">
              <w:rPr>
                <w:rtl w:val="0"/>
              </w:rPr>
            </w:r>
          </w:p>
        </w:tc>
      </w:tr>
      <w:tr>
        <w:trPr>
          <w:cantSplit w:val="0"/>
          <w:trHeight w:val="738" w:hRule="atLeast"/>
          <w:tblHeader w:val="0"/>
        </w:trPr>
        <w:tc>
          <w:tcPr/>
          <w:p w:rsidR="00000000" w:rsidDel="00000000" w:rsidP="00000000" w:rsidRDefault="00000000" w:rsidRPr="00000000" w14:paraId="00000093">
            <w:pPr>
              <w:pBdr>
                <w:top w:space="0" w:sz="0" w:val="nil"/>
                <w:left w:space="0" w:sz="0" w:val="nil"/>
                <w:bottom w:space="0" w:sz="0" w:val="nil"/>
                <w:right w:space="0" w:sz="0" w:val="nil"/>
                <w:between w:space="0" w:sz="0" w:val="nil"/>
              </w:pBdr>
              <w:spacing w:after="0" w:before="0" w:lineRule="auto"/>
              <w:ind w:hanging="2"/>
              <w:rPr>
                <w:color w:val="000000"/>
                <w:sz w:val="24"/>
                <w:szCs w:val="24"/>
              </w:rPr>
            </w:pPr>
            <w:r w:rsidDel="00000000" w:rsidR="00000000" w:rsidRPr="00000000">
              <w:rPr>
                <w:color w:val="000000"/>
                <w:sz w:val="24"/>
                <w:szCs w:val="24"/>
                <w:rtl w:val="0"/>
              </w:rPr>
              <w:t xml:space="preserve">3</w:t>
            </w:r>
          </w:p>
        </w:tc>
        <w:tc>
          <w:tcPr/>
          <w:p w:rsidR="00000000" w:rsidDel="00000000" w:rsidP="00000000" w:rsidRDefault="00000000" w:rsidRPr="00000000" w14:paraId="00000094">
            <w:pPr>
              <w:pBdr>
                <w:top w:space="0" w:sz="0" w:val="nil"/>
                <w:left w:space="0" w:sz="0" w:val="nil"/>
                <w:bottom w:space="0" w:sz="0" w:val="nil"/>
                <w:right w:space="0" w:sz="0" w:val="nil"/>
                <w:between w:space="0" w:sz="0" w:val="nil"/>
              </w:pBdr>
              <w:spacing w:after="0" w:before="0" w:lineRule="auto"/>
              <w:ind w:hanging="2"/>
              <w:rPr>
                <w:color w:val="000000"/>
                <w:sz w:val="24"/>
                <w:szCs w:val="24"/>
              </w:rPr>
            </w:pPr>
            <w:r w:rsidDel="00000000" w:rsidR="00000000" w:rsidRPr="00000000">
              <w:rPr>
                <w:color w:val="000000"/>
                <w:sz w:val="24"/>
                <w:szCs w:val="24"/>
                <w:rtl w:val="0"/>
              </w:rPr>
              <w:t xml:space="preserve">Tusheti Protected Landscape (IUCN Cat.V)</w:t>
            </w:r>
          </w:p>
        </w:tc>
        <w:tc>
          <w:tcPr/>
          <w:p w:rsidR="00000000" w:rsidDel="00000000" w:rsidP="00000000" w:rsidRDefault="00000000" w:rsidRPr="00000000" w14:paraId="00000095">
            <w:pPr>
              <w:pBdr>
                <w:top w:space="0" w:sz="0" w:val="nil"/>
                <w:left w:space="0" w:sz="0" w:val="nil"/>
                <w:bottom w:space="0" w:sz="0" w:val="nil"/>
                <w:right w:space="0" w:sz="0" w:val="nil"/>
                <w:between w:space="0" w:sz="0" w:val="nil"/>
              </w:pBdr>
              <w:spacing w:after="0" w:before="0" w:lineRule="auto"/>
              <w:ind w:hanging="2"/>
              <w:jc w:val="center"/>
              <w:rPr>
                <w:color w:val="000000"/>
                <w:sz w:val="24"/>
                <w:szCs w:val="24"/>
              </w:rPr>
            </w:pPr>
            <w:r w:rsidDel="00000000" w:rsidR="00000000" w:rsidRPr="00000000">
              <w:rPr>
                <w:color w:val="000000"/>
                <w:sz w:val="24"/>
                <w:szCs w:val="24"/>
                <w:rtl w:val="0"/>
              </w:rPr>
              <w:t xml:space="preserve">31 518</w:t>
            </w:r>
          </w:p>
        </w:tc>
        <w:tc>
          <w:tcPr/>
          <w:p w:rsidR="00000000" w:rsidDel="00000000" w:rsidP="00000000" w:rsidRDefault="00000000" w:rsidRPr="00000000" w14:paraId="00000096">
            <w:pPr>
              <w:pBdr>
                <w:top w:space="0" w:sz="0" w:val="nil"/>
                <w:left w:space="0" w:sz="0" w:val="nil"/>
                <w:bottom w:space="0" w:sz="0" w:val="nil"/>
                <w:right w:space="0" w:sz="0" w:val="nil"/>
                <w:between w:space="0" w:sz="0" w:val="nil"/>
              </w:pBdr>
              <w:spacing w:after="0" w:before="0" w:lineRule="auto"/>
              <w:ind w:hanging="2"/>
              <w:jc w:val="center"/>
              <w:rPr>
                <w:color w:val="000000"/>
                <w:sz w:val="24"/>
                <w:szCs w:val="24"/>
              </w:rPr>
            </w:pPr>
            <w:r w:rsidDel="00000000" w:rsidR="00000000" w:rsidRPr="00000000">
              <w:rPr>
                <w:color w:val="000000"/>
                <w:sz w:val="24"/>
                <w:szCs w:val="24"/>
                <w:rtl w:val="0"/>
              </w:rPr>
              <w:t xml:space="preserve">1 363</w:t>
            </w:r>
          </w:p>
        </w:tc>
        <w:tc>
          <w:tcPr/>
          <w:p w:rsidR="00000000" w:rsidDel="00000000" w:rsidP="00000000" w:rsidRDefault="00000000" w:rsidRPr="00000000" w14:paraId="00000097">
            <w:pPr>
              <w:pBdr>
                <w:top w:space="0" w:sz="0" w:val="nil"/>
                <w:left w:space="0" w:sz="0" w:val="nil"/>
                <w:bottom w:space="0" w:sz="0" w:val="nil"/>
                <w:right w:space="0" w:sz="0" w:val="nil"/>
                <w:between w:space="0" w:sz="0" w:val="nil"/>
              </w:pBdr>
              <w:spacing w:after="0" w:before="0" w:lineRule="auto"/>
              <w:ind w:hanging="2"/>
              <w:jc w:val="center"/>
              <w:rPr>
                <w:color w:val="000000"/>
                <w:sz w:val="24"/>
                <w:szCs w:val="24"/>
              </w:rPr>
            </w:pPr>
            <w:r w:rsidDel="00000000" w:rsidR="00000000" w:rsidRPr="00000000">
              <w:rPr>
                <w:color w:val="000000"/>
                <w:sz w:val="24"/>
                <w:szCs w:val="24"/>
                <w:rtl w:val="0"/>
              </w:rPr>
              <w:t xml:space="preserve">V</w:t>
            </w:r>
          </w:p>
        </w:tc>
        <w:tc>
          <w:tcPr/>
          <w:p w:rsidR="00000000" w:rsidDel="00000000" w:rsidP="00000000" w:rsidRDefault="00000000" w:rsidRPr="00000000" w14:paraId="00000098">
            <w:pPr>
              <w:pBdr>
                <w:top w:space="0" w:sz="0" w:val="nil"/>
                <w:left w:space="0" w:sz="0" w:val="nil"/>
                <w:bottom w:space="0" w:sz="0" w:val="nil"/>
                <w:right w:space="0" w:sz="0" w:val="nil"/>
                <w:between w:space="0" w:sz="0" w:val="nil"/>
              </w:pBdr>
              <w:spacing w:after="0" w:before="0" w:lineRule="auto"/>
              <w:jc w:val="both"/>
              <w:rPr>
                <w:sz w:val="24"/>
                <w:szCs w:val="24"/>
              </w:rPr>
            </w:pPr>
            <w:r w:rsidDel="00000000" w:rsidR="00000000" w:rsidRPr="00000000">
              <w:rPr>
                <w:color w:val="000000"/>
                <w:sz w:val="24"/>
                <w:szCs w:val="24"/>
                <w:rtl w:val="0"/>
              </w:rPr>
              <w:t xml:space="preserve">Managed by</w:t>
            </w:r>
            <w:r w:rsidDel="00000000" w:rsidR="00000000" w:rsidRPr="00000000">
              <w:rPr>
                <w:sz w:val="24"/>
                <w:szCs w:val="24"/>
                <w:rtl w:val="0"/>
              </w:rPr>
              <w:t xml:space="preserve"> </w:t>
            </w:r>
            <w:r w:rsidDel="00000000" w:rsidR="00000000" w:rsidRPr="00000000">
              <w:rPr>
                <w:color w:val="000000"/>
                <w:sz w:val="24"/>
                <w:szCs w:val="24"/>
                <w:rtl w:val="0"/>
              </w:rPr>
              <w:t xml:space="preserve">Tusheti Protected Landscape Administration,  Akhmeta Municipality </w:t>
            </w:r>
            <w:r w:rsidDel="00000000" w:rsidR="00000000" w:rsidRPr="00000000">
              <w:rPr>
                <w:rtl w:val="0"/>
              </w:rPr>
            </w:r>
          </w:p>
        </w:tc>
      </w:tr>
      <w:tr>
        <w:trPr>
          <w:cantSplit w:val="0"/>
          <w:trHeight w:val="498" w:hRule="atLeast"/>
          <w:tblHeader w:val="0"/>
        </w:trPr>
        <w:tc>
          <w:tcPr/>
          <w:p w:rsidR="00000000" w:rsidDel="00000000" w:rsidP="00000000" w:rsidRDefault="00000000" w:rsidRPr="00000000" w14:paraId="00000099">
            <w:pPr>
              <w:pBdr>
                <w:top w:space="0" w:sz="0" w:val="nil"/>
                <w:left w:space="0" w:sz="0" w:val="nil"/>
                <w:bottom w:space="0" w:sz="0" w:val="nil"/>
                <w:right w:space="0" w:sz="0" w:val="nil"/>
                <w:between w:space="0" w:sz="0" w:val="nil"/>
              </w:pBdr>
              <w:spacing w:after="0" w:before="0" w:lineRule="auto"/>
              <w:ind w:hanging="2"/>
              <w:rPr>
                <w:color w:val="000000"/>
                <w:sz w:val="24"/>
                <w:szCs w:val="24"/>
              </w:rPr>
            </w:pPr>
            <w:r w:rsidDel="00000000" w:rsidR="00000000" w:rsidRPr="00000000">
              <w:rPr>
                <w:color w:val="000000"/>
                <w:sz w:val="24"/>
                <w:szCs w:val="24"/>
                <w:rtl w:val="0"/>
              </w:rPr>
              <w:t xml:space="preserve">4</w:t>
            </w:r>
          </w:p>
        </w:tc>
        <w:tc>
          <w:tcPr/>
          <w:p w:rsidR="00000000" w:rsidDel="00000000" w:rsidP="00000000" w:rsidRDefault="00000000" w:rsidRPr="00000000" w14:paraId="0000009A">
            <w:pPr>
              <w:pBdr>
                <w:top w:space="0" w:sz="0" w:val="nil"/>
                <w:left w:space="0" w:sz="0" w:val="nil"/>
                <w:bottom w:space="0" w:sz="0" w:val="nil"/>
                <w:right w:space="0" w:sz="0" w:val="nil"/>
                <w:between w:space="0" w:sz="0" w:val="nil"/>
              </w:pBdr>
              <w:spacing w:after="0" w:before="0" w:lineRule="auto"/>
              <w:ind w:hanging="2"/>
              <w:rPr>
                <w:color w:val="000000"/>
                <w:sz w:val="24"/>
                <w:szCs w:val="24"/>
              </w:rPr>
            </w:pPr>
            <w:r w:rsidDel="00000000" w:rsidR="00000000" w:rsidRPr="00000000">
              <w:rPr>
                <w:color w:val="000000"/>
                <w:sz w:val="24"/>
                <w:szCs w:val="24"/>
                <w:rtl w:val="0"/>
              </w:rPr>
              <w:t xml:space="preserve">Babaneuri Strict Nature Reserve (IUCN Cat.I)</w:t>
            </w:r>
          </w:p>
        </w:tc>
        <w:tc>
          <w:tcPr/>
          <w:p w:rsidR="00000000" w:rsidDel="00000000" w:rsidP="00000000" w:rsidRDefault="00000000" w:rsidRPr="00000000" w14:paraId="0000009B">
            <w:pPr>
              <w:pBdr>
                <w:top w:space="0" w:sz="0" w:val="nil"/>
                <w:left w:space="0" w:sz="0" w:val="nil"/>
                <w:bottom w:space="0" w:sz="0" w:val="nil"/>
                <w:right w:space="0" w:sz="0" w:val="nil"/>
                <w:between w:space="0" w:sz="0" w:val="nil"/>
              </w:pBdr>
              <w:spacing w:after="0" w:before="0" w:lineRule="auto"/>
              <w:ind w:hanging="2"/>
              <w:jc w:val="center"/>
              <w:rPr>
                <w:color w:val="000000"/>
                <w:sz w:val="24"/>
                <w:szCs w:val="24"/>
              </w:rPr>
            </w:pPr>
            <w:r w:rsidDel="00000000" w:rsidR="00000000" w:rsidRPr="00000000">
              <w:rPr>
                <w:color w:val="000000"/>
                <w:sz w:val="24"/>
                <w:szCs w:val="24"/>
                <w:rtl w:val="0"/>
              </w:rPr>
              <w:t xml:space="preserve">834</w:t>
            </w:r>
          </w:p>
        </w:tc>
        <w:tc>
          <w:tcPr/>
          <w:p w:rsidR="00000000" w:rsidDel="00000000" w:rsidP="00000000" w:rsidRDefault="00000000" w:rsidRPr="00000000" w14:paraId="0000009C">
            <w:pPr>
              <w:pBdr>
                <w:top w:space="0" w:sz="0" w:val="nil"/>
                <w:left w:space="0" w:sz="0" w:val="nil"/>
                <w:bottom w:space="0" w:sz="0" w:val="nil"/>
                <w:right w:space="0" w:sz="0" w:val="nil"/>
                <w:between w:space="0" w:sz="0" w:val="nil"/>
              </w:pBdr>
              <w:spacing w:after="0" w:before="0" w:lineRule="auto"/>
              <w:ind w:hanging="2"/>
              <w:jc w:val="center"/>
              <w:rPr>
                <w:color w:val="000000"/>
                <w:sz w:val="24"/>
                <w:szCs w:val="24"/>
                <w:highlight w:val="yellow"/>
              </w:rPr>
            </w:pPr>
            <w:r w:rsidDel="00000000" w:rsidR="00000000" w:rsidRPr="00000000">
              <w:rPr>
                <w:color w:val="000000"/>
                <w:sz w:val="24"/>
                <w:szCs w:val="24"/>
                <w:rtl w:val="0"/>
              </w:rPr>
              <w:t xml:space="preserve">779</w:t>
            </w:r>
            <w:r w:rsidDel="00000000" w:rsidR="00000000" w:rsidRPr="00000000">
              <w:rPr>
                <w:rtl w:val="0"/>
              </w:rPr>
            </w:r>
          </w:p>
        </w:tc>
        <w:tc>
          <w:tcPr/>
          <w:p w:rsidR="00000000" w:rsidDel="00000000" w:rsidP="00000000" w:rsidRDefault="00000000" w:rsidRPr="00000000" w14:paraId="0000009D">
            <w:pPr>
              <w:pBdr>
                <w:top w:space="0" w:sz="0" w:val="nil"/>
                <w:left w:space="0" w:sz="0" w:val="nil"/>
                <w:bottom w:space="0" w:sz="0" w:val="nil"/>
                <w:right w:space="0" w:sz="0" w:val="nil"/>
                <w:between w:space="0" w:sz="0" w:val="nil"/>
              </w:pBdr>
              <w:spacing w:after="0" w:before="0" w:lineRule="auto"/>
              <w:ind w:hanging="2"/>
              <w:jc w:val="center"/>
              <w:rPr>
                <w:color w:val="000000"/>
                <w:sz w:val="24"/>
                <w:szCs w:val="24"/>
              </w:rPr>
            </w:pPr>
            <w:r w:rsidDel="00000000" w:rsidR="00000000" w:rsidRPr="00000000">
              <w:rPr>
                <w:color w:val="000000"/>
                <w:sz w:val="24"/>
                <w:szCs w:val="24"/>
                <w:rtl w:val="0"/>
              </w:rPr>
              <w:t xml:space="preserve">I</w:t>
            </w:r>
          </w:p>
        </w:tc>
        <w:tc>
          <w:tcPr/>
          <w:p w:rsidR="00000000" w:rsidDel="00000000" w:rsidP="00000000" w:rsidRDefault="00000000" w:rsidRPr="00000000" w14:paraId="0000009E">
            <w:pPr>
              <w:spacing w:after="0" w:before="0" w:lineRule="auto"/>
              <w:ind w:hanging="2"/>
              <w:rPr>
                <w:sz w:val="24"/>
                <w:szCs w:val="24"/>
              </w:rPr>
            </w:pPr>
            <w:r w:rsidDel="00000000" w:rsidR="00000000" w:rsidRPr="00000000">
              <w:rPr>
                <w:color w:val="000000"/>
                <w:sz w:val="24"/>
                <w:szCs w:val="24"/>
                <w:rtl w:val="0"/>
              </w:rPr>
              <w:t xml:space="preserve">Managed by </w:t>
            </w:r>
            <w:r w:rsidDel="00000000" w:rsidR="00000000" w:rsidRPr="00000000">
              <w:rPr>
                <w:sz w:val="24"/>
                <w:szCs w:val="24"/>
                <w:rtl w:val="0"/>
              </w:rPr>
              <w:t xml:space="preserve">the </w:t>
            </w:r>
            <w:r w:rsidDel="00000000" w:rsidR="00000000" w:rsidRPr="00000000">
              <w:rPr>
                <w:color w:val="000000"/>
                <w:sz w:val="24"/>
                <w:szCs w:val="24"/>
                <w:rtl w:val="0"/>
              </w:rPr>
              <w:t xml:space="preserve">Agency of Protected Areas</w:t>
            </w:r>
            <w:r w:rsidDel="00000000" w:rsidR="00000000" w:rsidRPr="00000000">
              <w:rPr>
                <w:rtl w:val="0"/>
              </w:rPr>
            </w:r>
          </w:p>
        </w:tc>
      </w:tr>
      <w:tr>
        <w:trPr>
          <w:cantSplit w:val="0"/>
          <w:trHeight w:val="481" w:hRule="atLeast"/>
          <w:tblHeader w:val="0"/>
        </w:trPr>
        <w:tc>
          <w:tcPr/>
          <w:p w:rsidR="00000000" w:rsidDel="00000000" w:rsidP="00000000" w:rsidRDefault="00000000" w:rsidRPr="00000000" w14:paraId="0000009F">
            <w:pPr>
              <w:pBdr>
                <w:top w:space="0" w:sz="0" w:val="nil"/>
                <w:left w:space="0" w:sz="0" w:val="nil"/>
                <w:bottom w:space="0" w:sz="0" w:val="nil"/>
                <w:right w:space="0" w:sz="0" w:val="nil"/>
                <w:between w:space="0" w:sz="0" w:val="nil"/>
              </w:pBdr>
              <w:spacing w:after="0" w:before="0" w:lineRule="auto"/>
              <w:ind w:hanging="2"/>
              <w:rPr>
                <w:color w:val="000000"/>
                <w:sz w:val="24"/>
                <w:szCs w:val="24"/>
              </w:rPr>
            </w:pPr>
            <w:r w:rsidDel="00000000" w:rsidR="00000000" w:rsidRPr="00000000">
              <w:rPr>
                <w:color w:val="000000"/>
                <w:sz w:val="24"/>
                <w:szCs w:val="24"/>
                <w:rtl w:val="0"/>
              </w:rPr>
              <w:t xml:space="preserve">5</w:t>
            </w:r>
          </w:p>
        </w:tc>
        <w:tc>
          <w:tcPr/>
          <w:p w:rsidR="00000000" w:rsidDel="00000000" w:rsidP="00000000" w:rsidRDefault="00000000" w:rsidRPr="00000000" w14:paraId="000000A0">
            <w:pPr>
              <w:pBdr>
                <w:top w:space="0" w:sz="0" w:val="nil"/>
                <w:left w:space="0" w:sz="0" w:val="nil"/>
                <w:bottom w:space="0" w:sz="0" w:val="nil"/>
                <w:right w:space="0" w:sz="0" w:val="nil"/>
                <w:between w:space="0" w:sz="0" w:val="nil"/>
              </w:pBdr>
              <w:spacing w:after="0" w:before="0" w:lineRule="auto"/>
              <w:ind w:hanging="2"/>
              <w:rPr>
                <w:color w:val="000000"/>
                <w:sz w:val="24"/>
                <w:szCs w:val="24"/>
              </w:rPr>
            </w:pPr>
            <w:r w:rsidDel="00000000" w:rsidR="00000000" w:rsidRPr="00000000">
              <w:rPr>
                <w:color w:val="000000"/>
                <w:sz w:val="24"/>
                <w:szCs w:val="24"/>
                <w:rtl w:val="0"/>
              </w:rPr>
              <w:t xml:space="preserve">Batsara Strict Nature Reserve (IUCN Cat.I)</w:t>
            </w:r>
          </w:p>
        </w:tc>
        <w:tc>
          <w:tcPr/>
          <w:p w:rsidR="00000000" w:rsidDel="00000000" w:rsidP="00000000" w:rsidRDefault="00000000" w:rsidRPr="00000000" w14:paraId="000000A1">
            <w:pPr>
              <w:pBdr>
                <w:top w:space="0" w:sz="0" w:val="nil"/>
                <w:left w:space="0" w:sz="0" w:val="nil"/>
                <w:bottom w:space="0" w:sz="0" w:val="nil"/>
                <w:right w:space="0" w:sz="0" w:val="nil"/>
                <w:between w:space="0" w:sz="0" w:val="nil"/>
              </w:pBdr>
              <w:spacing w:after="0" w:before="0" w:lineRule="auto"/>
              <w:ind w:hanging="2"/>
              <w:jc w:val="center"/>
              <w:rPr>
                <w:color w:val="000000"/>
                <w:sz w:val="24"/>
                <w:szCs w:val="24"/>
              </w:rPr>
            </w:pPr>
            <w:r w:rsidDel="00000000" w:rsidR="00000000" w:rsidRPr="00000000">
              <w:rPr>
                <w:color w:val="000000"/>
                <w:sz w:val="24"/>
                <w:szCs w:val="24"/>
                <w:rtl w:val="0"/>
              </w:rPr>
              <w:t xml:space="preserve">3 036</w:t>
            </w:r>
          </w:p>
        </w:tc>
        <w:tc>
          <w:tcPr/>
          <w:p w:rsidR="00000000" w:rsidDel="00000000" w:rsidP="00000000" w:rsidRDefault="00000000" w:rsidRPr="00000000" w14:paraId="000000A2">
            <w:pPr>
              <w:pBdr>
                <w:top w:space="0" w:sz="0" w:val="nil"/>
                <w:left w:space="0" w:sz="0" w:val="nil"/>
                <w:bottom w:space="0" w:sz="0" w:val="nil"/>
                <w:right w:space="0" w:sz="0" w:val="nil"/>
                <w:between w:space="0" w:sz="0" w:val="nil"/>
              </w:pBdr>
              <w:spacing w:after="0" w:before="0" w:lineRule="auto"/>
              <w:ind w:hanging="2"/>
              <w:jc w:val="center"/>
              <w:rPr>
                <w:color w:val="000000"/>
                <w:sz w:val="24"/>
                <w:szCs w:val="24"/>
                <w:highlight w:val="yellow"/>
              </w:rPr>
            </w:pPr>
            <w:r w:rsidDel="00000000" w:rsidR="00000000" w:rsidRPr="00000000">
              <w:rPr>
                <w:color w:val="000000"/>
                <w:sz w:val="24"/>
                <w:szCs w:val="24"/>
                <w:rtl w:val="0"/>
              </w:rPr>
              <w:t xml:space="preserve">2 707</w:t>
            </w:r>
            <w:r w:rsidDel="00000000" w:rsidR="00000000" w:rsidRPr="00000000">
              <w:rPr>
                <w:rtl w:val="0"/>
              </w:rPr>
            </w:r>
          </w:p>
        </w:tc>
        <w:tc>
          <w:tcPr/>
          <w:p w:rsidR="00000000" w:rsidDel="00000000" w:rsidP="00000000" w:rsidRDefault="00000000" w:rsidRPr="00000000" w14:paraId="000000A3">
            <w:pPr>
              <w:pBdr>
                <w:top w:space="0" w:sz="0" w:val="nil"/>
                <w:left w:space="0" w:sz="0" w:val="nil"/>
                <w:bottom w:space="0" w:sz="0" w:val="nil"/>
                <w:right w:space="0" w:sz="0" w:val="nil"/>
                <w:between w:space="0" w:sz="0" w:val="nil"/>
              </w:pBdr>
              <w:spacing w:after="0" w:before="0" w:lineRule="auto"/>
              <w:ind w:hanging="2"/>
              <w:jc w:val="center"/>
              <w:rPr>
                <w:color w:val="000000"/>
                <w:sz w:val="24"/>
                <w:szCs w:val="24"/>
              </w:rPr>
            </w:pPr>
            <w:r w:rsidDel="00000000" w:rsidR="00000000" w:rsidRPr="00000000">
              <w:rPr>
                <w:color w:val="000000"/>
                <w:sz w:val="24"/>
                <w:szCs w:val="24"/>
                <w:rtl w:val="0"/>
              </w:rPr>
              <w:t xml:space="preserve">I</w:t>
            </w:r>
          </w:p>
        </w:tc>
        <w:tc>
          <w:tcPr/>
          <w:p w:rsidR="00000000" w:rsidDel="00000000" w:rsidP="00000000" w:rsidRDefault="00000000" w:rsidRPr="00000000" w14:paraId="000000A4">
            <w:pPr>
              <w:spacing w:after="0" w:before="0" w:lineRule="auto"/>
              <w:ind w:hanging="2"/>
              <w:rPr>
                <w:sz w:val="24"/>
                <w:szCs w:val="24"/>
              </w:rPr>
            </w:pPr>
            <w:r w:rsidDel="00000000" w:rsidR="00000000" w:rsidRPr="00000000">
              <w:rPr>
                <w:color w:val="000000"/>
                <w:sz w:val="24"/>
                <w:szCs w:val="24"/>
                <w:rtl w:val="0"/>
              </w:rPr>
              <w:t xml:space="preserve">Managed by </w:t>
            </w:r>
            <w:r w:rsidDel="00000000" w:rsidR="00000000" w:rsidRPr="00000000">
              <w:rPr>
                <w:sz w:val="24"/>
                <w:szCs w:val="24"/>
                <w:rtl w:val="0"/>
              </w:rPr>
              <w:t xml:space="preserve">the </w:t>
            </w:r>
            <w:r w:rsidDel="00000000" w:rsidR="00000000" w:rsidRPr="00000000">
              <w:rPr>
                <w:color w:val="000000"/>
                <w:sz w:val="24"/>
                <w:szCs w:val="24"/>
                <w:rtl w:val="0"/>
              </w:rPr>
              <w:t xml:space="preserve">Agency of Protected Areas</w:t>
            </w:r>
            <w:r w:rsidDel="00000000" w:rsidR="00000000" w:rsidRPr="00000000">
              <w:rPr>
                <w:rtl w:val="0"/>
              </w:rPr>
            </w:r>
          </w:p>
        </w:tc>
      </w:tr>
    </w:tbl>
    <w:p w:rsidR="00000000" w:rsidDel="00000000" w:rsidP="00000000" w:rsidRDefault="00000000" w:rsidRPr="00000000" w14:paraId="000000A5">
      <w:pPr>
        <w:spacing w:line="276" w:lineRule="auto"/>
        <w:jc w:val="both"/>
        <w:rPr>
          <w:sz w:val="24"/>
          <w:szCs w:val="24"/>
        </w:rPr>
      </w:pPr>
      <w:r w:rsidDel="00000000" w:rsidR="00000000" w:rsidRPr="00000000">
        <w:rPr>
          <w:b w:val="1"/>
          <w:sz w:val="24"/>
          <w:szCs w:val="24"/>
          <w:rtl w:val="0"/>
        </w:rPr>
        <w:t xml:space="preserve">The buffer zone</w:t>
      </w:r>
      <w:r w:rsidDel="00000000" w:rsidR="00000000" w:rsidRPr="00000000">
        <w:rPr>
          <w:sz w:val="24"/>
          <w:szCs w:val="24"/>
          <w:rtl w:val="0"/>
        </w:rPr>
        <w:t xml:space="preserve"> - covers 75,449 hectares and allows for research, environmental protection, and restoration activities. Its primary objective is to preserve cultural and historical landscapes, promote tourism, and recreational resources, and facilitate sustainable development to prevent adverse impacts on key areas.</w:t>
      </w:r>
    </w:p>
    <w:p w:rsidR="00000000" w:rsidDel="00000000" w:rsidP="00000000" w:rsidRDefault="00000000" w:rsidRPr="00000000" w14:paraId="000000A6">
      <w:pPr>
        <w:spacing w:line="276" w:lineRule="auto"/>
        <w:jc w:val="both"/>
        <w:rPr>
          <w:sz w:val="24"/>
          <w:szCs w:val="24"/>
        </w:rPr>
      </w:pPr>
      <w:r w:rsidDel="00000000" w:rsidR="00000000" w:rsidRPr="00000000">
        <w:rPr>
          <w:b w:val="1"/>
          <w:sz w:val="24"/>
          <w:szCs w:val="24"/>
          <w:rtl w:val="0"/>
        </w:rPr>
        <w:t xml:space="preserve">The buffer zone</w:t>
      </w:r>
      <w:r w:rsidDel="00000000" w:rsidR="00000000" w:rsidRPr="00000000">
        <w:rPr>
          <w:sz w:val="24"/>
          <w:szCs w:val="24"/>
          <w:rtl w:val="0"/>
        </w:rPr>
        <w:t xml:space="preserve"> for the far north core area is represented by Tusheti National Park, from the south, and by a natural border from the north and northeast. At the same time, the state border control area (about 5 km long) of a width of about 500 m (where historical and tangible cultural monuments as well as flora and fauna are protected by the Ministry of Internal Affairs in cooperation with corresponding state institutions</w:t>
      </w:r>
      <w:r w:rsidDel="00000000" w:rsidR="00000000" w:rsidRPr="00000000">
        <w:rPr>
          <w:sz w:val="24"/>
          <w:szCs w:val="24"/>
          <w:vertAlign w:val="superscript"/>
        </w:rPr>
        <w:footnoteReference w:customMarkFollows="0" w:id="1"/>
      </w:r>
      <w:r w:rsidDel="00000000" w:rsidR="00000000" w:rsidRPr="00000000">
        <w:rPr>
          <w:sz w:val="24"/>
          <w:szCs w:val="24"/>
          <w:rtl w:val="0"/>
        </w:rPr>
        <w:t xml:space="preserve"> in this case, with the APA) provides appropriate buffering functions.</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1"/>
          <w:i w:val="1"/>
          <w:smallCaps w:val="0"/>
          <w:strike w:val="0"/>
          <w:color w:val="44546a"/>
          <w:sz w:val="24"/>
          <w:szCs w:val="24"/>
          <w:u w:val="none"/>
          <w:shd w:fill="auto" w:val="clear"/>
          <w:vertAlign w:val="baseline"/>
        </w:rPr>
      </w:pPr>
      <w:r w:rsidDel="00000000" w:rsidR="00000000" w:rsidRPr="00000000">
        <w:rPr>
          <w:rFonts w:ascii="Calibri" w:cs="Calibri" w:eastAsia="Calibri" w:hAnsi="Calibri"/>
          <w:b w:val="1"/>
          <w:i w:val="1"/>
          <w:smallCaps w:val="0"/>
          <w:strike w:val="0"/>
          <w:color w:val="44546a"/>
          <w:sz w:val="24"/>
          <w:szCs w:val="24"/>
          <w:u w:val="none"/>
          <w:shd w:fill="auto" w:val="clear"/>
          <w:vertAlign w:val="baseline"/>
          <w:rtl w:val="0"/>
        </w:rPr>
        <w:t xml:space="preserve">Table 2. Buffer Zone of the Proposed Biosphere Reserve</w:t>
      </w:r>
    </w:p>
    <w:tbl>
      <w:tblPr>
        <w:tblStyle w:val="Table4"/>
        <w:tblW w:w="9030.0" w:type="dxa"/>
        <w:jc w:val="left"/>
        <w:tblInd w:w="-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1"/>
        <w:gridCol w:w="2549"/>
        <w:gridCol w:w="1136"/>
        <w:gridCol w:w="1134"/>
        <w:gridCol w:w="1134"/>
        <w:gridCol w:w="2616"/>
        <w:tblGridChange w:id="0">
          <w:tblGrid>
            <w:gridCol w:w="461"/>
            <w:gridCol w:w="2549"/>
            <w:gridCol w:w="1136"/>
            <w:gridCol w:w="1134"/>
            <w:gridCol w:w="1134"/>
            <w:gridCol w:w="2616"/>
          </w:tblGrid>
        </w:tblGridChange>
      </w:tblGrid>
      <w:tr>
        <w:trPr>
          <w:cantSplit w:val="0"/>
          <w:trHeight w:val="835" w:hRule="atLeast"/>
          <w:tblHeader w:val="0"/>
        </w:trPr>
        <w:tc>
          <w:tcPr/>
          <w:p w:rsidR="00000000" w:rsidDel="00000000" w:rsidP="00000000" w:rsidRDefault="00000000" w:rsidRPr="00000000" w14:paraId="000000A8">
            <w:pPr>
              <w:pBdr>
                <w:top w:space="0" w:sz="0" w:val="nil"/>
                <w:left w:space="0" w:sz="0" w:val="nil"/>
                <w:bottom w:space="0" w:sz="0" w:val="nil"/>
                <w:right w:space="0" w:sz="0" w:val="nil"/>
                <w:between w:space="0" w:sz="0" w:val="nil"/>
              </w:pBdr>
              <w:spacing w:after="0" w:before="0" w:lineRule="auto"/>
              <w:ind w:hanging="2"/>
              <w:rPr>
                <w:color w:val="000000"/>
                <w:sz w:val="24"/>
                <w:szCs w:val="24"/>
              </w:rPr>
            </w:pPr>
            <w:r w:rsidDel="00000000" w:rsidR="00000000" w:rsidRPr="00000000">
              <w:rPr>
                <w:color w:val="000000"/>
                <w:sz w:val="24"/>
                <w:szCs w:val="24"/>
                <w:rtl w:val="0"/>
              </w:rPr>
              <w:t xml:space="preserve">#</w:t>
            </w:r>
          </w:p>
        </w:tc>
        <w:tc>
          <w:tcPr/>
          <w:p w:rsidR="00000000" w:rsidDel="00000000" w:rsidP="00000000" w:rsidRDefault="00000000" w:rsidRPr="00000000" w14:paraId="000000A9">
            <w:pPr>
              <w:pBdr>
                <w:top w:space="0" w:sz="0" w:val="nil"/>
                <w:left w:space="0" w:sz="0" w:val="nil"/>
                <w:bottom w:space="0" w:sz="0" w:val="nil"/>
                <w:right w:space="0" w:sz="0" w:val="nil"/>
                <w:between w:space="0" w:sz="0" w:val="nil"/>
              </w:pBdr>
              <w:spacing w:after="0" w:before="0" w:lineRule="auto"/>
              <w:ind w:hanging="2"/>
              <w:jc w:val="center"/>
              <w:rPr>
                <w:color w:val="000000"/>
                <w:sz w:val="24"/>
                <w:szCs w:val="24"/>
              </w:rPr>
            </w:pPr>
            <w:r w:rsidDel="00000000" w:rsidR="00000000" w:rsidRPr="00000000">
              <w:rPr>
                <w:b w:val="1"/>
                <w:color w:val="000000"/>
                <w:sz w:val="24"/>
                <w:szCs w:val="24"/>
                <w:rtl w:val="0"/>
              </w:rPr>
              <w:t xml:space="preserve">Name of Protected Area</w:t>
            </w:r>
            <w:r w:rsidDel="00000000" w:rsidR="00000000" w:rsidRPr="00000000">
              <w:rPr>
                <w:rtl w:val="0"/>
              </w:rPr>
            </w:r>
          </w:p>
        </w:tc>
        <w:tc>
          <w:tcPr/>
          <w:p w:rsidR="00000000" w:rsidDel="00000000" w:rsidP="00000000" w:rsidRDefault="00000000" w:rsidRPr="00000000" w14:paraId="000000AA">
            <w:pPr>
              <w:pBdr>
                <w:top w:space="0" w:sz="0" w:val="nil"/>
                <w:left w:space="0" w:sz="0" w:val="nil"/>
                <w:bottom w:space="0" w:sz="0" w:val="nil"/>
                <w:right w:space="0" w:sz="0" w:val="nil"/>
                <w:between w:space="0" w:sz="0" w:val="nil"/>
              </w:pBdr>
              <w:spacing w:after="0" w:before="0" w:lineRule="auto"/>
              <w:ind w:hanging="2"/>
              <w:jc w:val="center"/>
              <w:rPr>
                <w:color w:val="000000"/>
                <w:sz w:val="24"/>
                <w:szCs w:val="24"/>
              </w:rPr>
            </w:pPr>
            <w:r w:rsidDel="00000000" w:rsidR="00000000" w:rsidRPr="00000000">
              <w:rPr>
                <w:b w:val="1"/>
                <w:color w:val="000000"/>
                <w:sz w:val="24"/>
                <w:szCs w:val="24"/>
                <w:rtl w:val="0"/>
              </w:rPr>
              <w:t xml:space="preserve">Total area (ha)</w:t>
            </w:r>
            <w:r w:rsidDel="00000000" w:rsidR="00000000" w:rsidRPr="00000000">
              <w:rPr>
                <w:rtl w:val="0"/>
              </w:rPr>
            </w:r>
          </w:p>
        </w:tc>
        <w:tc>
          <w:tcPr/>
          <w:p w:rsidR="00000000" w:rsidDel="00000000" w:rsidP="00000000" w:rsidRDefault="00000000" w:rsidRPr="00000000" w14:paraId="000000AB">
            <w:pPr>
              <w:pBdr>
                <w:top w:space="0" w:sz="0" w:val="nil"/>
                <w:left w:space="0" w:sz="0" w:val="nil"/>
                <w:bottom w:space="0" w:sz="0" w:val="nil"/>
                <w:right w:space="0" w:sz="0" w:val="nil"/>
                <w:between w:space="0" w:sz="0" w:val="nil"/>
              </w:pBdr>
              <w:spacing w:after="0" w:before="0" w:lineRule="auto"/>
              <w:ind w:hanging="2"/>
              <w:jc w:val="center"/>
              <w:rPr>
                <w:color w:val="000000"/>
                <w:sz w:val="24"/>
                <w:szCs w:val="24"/>
                <w:highlight w:val="yellow"/>
              </w:rPr>
            </w:pPr>
            <w:r w:rsidDel="00000000" w:rsidR="00000000" w:rsidRPr="00000000">
              <w:rPr>
                <w:b w:val="1"/>
                <w:color w:val="000000"/>
                <w:sz w:val="24"/>
                <w:szCs w:val="24"/>
                <w:rtl w:val="0"/>
              </w:rPr>
              <w:t xml:space="preserve">BR buffer zone area (ha)</w:t>
            </w:r>
            <w:r w:rsidDel="00000000" w:rsidR="00000000" w:rsidRPr="00000000">
              <w:rPr>
                <w:rtl w:val="0"/>
              </w:rPr>
            </w:r>
          </w:p>
        </w:tc>
        <w:tc>
          <w:tcPr/>
          <w:p w:rsidR="00000000" w:rsidDel="00000000" w:rsidP="00000000" w:rsidRDefault="00000000" w:rsidRPr="00000000" w14:paraId="000000AC">
            <w:pPr>
              <w:pBdr>
                <w:top w:space="0" w:sz="0" w:val="nil"/>
                <w:left w:space="0" w:sz="0" w:val="nil"/>
                <w:bottom w:space="0" w:sz="0" w:val="nil"/>
                <w:right w:space="0" w:sz="0" w:val="nil"/>
                <w:between w:space="0" w:sz="0" w:val="nil"/>
              </w:pBdr>
              <w:spacing w:after="0" w:before="0" w:lineRule="auto"/>
              <w:ind w:hanging="2"/>
              <w:jc w:val="center"/>
              <w:rPr>
                <w:color w:val="000000"/>
                <w:sz w:val="24"/>
                <w:szCs w:val="24"/>
              </w:rPr>
            </w:pPr>
            <w:r w:rsidDel="00000000" w:rsidR="00000000" w:rsidRPr="00000000">
              <w:rPr>
                <w:b w:val="1"/>
                <w:color w:val="000000"/>
                <w:sz w:val="24"/>
                <w:szCs w:val="24"/>
                <w:rtl w:val="0"/>
              </w:rPr>
              <w:t xml:space="preserve">IUNC Category</w:t>
            </w:r>
            <w:r w:rsidDel="00000000" w:rsidR="00000000" w:rsidRPr="00000000">
              <w:rPr>
                <w:rtl w:val="0"/>
              </w:rPr>
            </w:r>
          </w:p>
        </w:tc>
        <w:tc>
          <w:tcPr/>
          <w:p w:rsidR="00000000" w:rsidDel="00000000" w:rsidP="00000000" w:rsidRDefault="00000000" w:rsidRPr="00000000" w14:paraId="000000AD">
            <w:pPr>
              <w:pBdr>
                <w:top w:space="0" w:sz="0" w:val="nil"/>
                <w:left w:space="0" w:sz="0" w:val="nil"/>
                <w:bottom w:space="0" w:sz="0" w:val="nil"/>
                <w:right w:space="0" w:sz="0" w:val="nil"/>
                <w:between w:space="0" w:sz="0" w:val="nil"/>
              </w:pBdr>
              <w:spacing w:after="0" w:before="0" w:lineRule="auto"/>
              <w:ind w:hanging="2"/>
              <w:jc w:val="center"/>
              <w:rPr>
                <w:color w:val="000000"/>
                <w:sz w:val="24"/>
                <w:szCs w:val="24"/>
              </w:rPr>
            </w:pPr>
            <w:r w:rsidDel="00000000" w:rsidR="00000000" w:rsidRPr="00000000">
              <w:rPr>
                <w:b w:val="1"/>
                <w:color w:val="000000"/>
                <w:sz w:val="24"/>
                <w:szCs w:val="24"/>
                <w:rtl w:val="0"/>
              </w:rPr>
              <w:t xml:space="preserve">Management</w:t>
            </w:r>
            <w:r w:rsidDel="00000000" w:rsidR="00000000" w:rsidRPr="00000000">
              <w:rPr>
                <w:rtl w:val="0"/>
              </w:rPr>
            </w:r>
          </w:p>
        </w:tc>
      </w:tr>
      <w:tr>
        <w:trPr>
          <w:cantSplit w:val="0"/>
          <w:trHeight w:val="812" w:hRule="atLeast"/>
          <w:tblHeader w:val="0"/>
        </w:trPr>
        <w:tc>
          <w:tcPr/>
          <w:p w:rsidR="00000000" w:rsidDel="00000000" w:rsidP="00000000" w:rsidRDefault="00000000" w:rsidRPr="00000000" w14:paraId="000000AE">
            <w:pPr>
              <w:pBdr>
                <w:top w:space="0" w:sz="0" w:val="nil"/>
                <w:left w:space="0" w:sz="0" w:val="nil"/>
                <w:bottom w:space="0" w:sz="0" w:val="nil"/>
                <w:right w:space="0" w:sz="0" w:val="nil"/>
                <w:between w:space="0" w:sz="0" w:val="nil"/>
              </w:pBdr>
              <w:spacing w:after="0" w:before="0" w:lineRule="auto"/>
              <w:ind w:hanging="2"/>
              <w:rPr>
                <w:color w:val="000000"/>
                <w:sz w:val="24"/>
                <w:szCs w:val="24"/>
              </w:rPr>
            </w:pPr>
            <w:r w:rsidDel="00000000" w:rsidR="00000000" w:rsidRPr="00000000">
              <w:rPr>
                <w:color w:val="000000"/>
                <w:sz w:val="24"/>
                <w:szCs w:val="24"/>
                <w:rtl w:val="0"/>
              </w:rPr>
              <w:t xml:space="preserve">1</w:t>
            </w:r>
          </w:p>
        </w:tc>
        <w:tc>
          <w:tcPr/>
          <w:p w:rsidR="00000000" w:rsidDel="00000000" w:rsidP="00000000" w:rsidRDefault="00000000" w:rsidRPr="00000000" w14:paraId="000000AF">
            <w:pPr>
              <w:pBdr>
                <w:top w:space="0" w:sz="0" w:val="nil"/>
                <w:left w:space="0" w:sz="0" w:val="nil"/>
                <w:bottom w:space="0" w:sz="0" w:val="nil"/>
                <w:right w:space="0" w:sz="0" w:val="nil"/>
                <w:between w:space="0" w:sz="0" w:val="nil"/>
              </w:pBdr>
              <w:spacing w:after="0" w:before="0" w:lineRule="auto"/>
              <w:ind w:hanging="2"/>
              <w:rPr>
                <w:color w:val="000000"/>
                <w:sz w:val="24"/>
                <w:szCs w:val="24"/>
              </w:rPr>
            </w:pPr>
            <w:r w:rsidDel="00000000" w:rsidR="00000000" w:rsidRPr="00000000">
              <w:rPr>
                <w:color w:val="000000"/>
                <w:sz w:val="24"/>
                <w:szCs w:val="24"/>
                <w:rtl w:val="0"/>
              </w:rPr>
              <w:t xml:space="preserve">Tusheti National Park (IUCN Cat.II)</w:t>
            </w:r>
          </w:p>
        </w:tc>
        <w:tc>
          <w:tcPr/>
          <w:p w:rsidR="00000000" w:rsidDel="00000000" w:rsidP="00000000" w:rsidRDefault="00000000" w:rsidRPr="00000000" w14:paraId="000000B0">
            <w:pPr>
              <w:pBdr>
                <w:top w:space="0" w:sz="0" w:val="nil"/>
                <w:left w:space="0" w:sz="0" w:val="nil"/>
                <w:bottom w:space="0" w:sz="0" w:val="nil"/>
                <w:right w:space="0" w:sz="0" w:val="nil"/>
                <w:between w:space="0" w:sz="0" w:val="nil"/>
              </w:pBdr>
              <w:spacing w:after="0" w:before="0" w:lineRule="auto"/>
              <w:ind w:hanging="2"/>
              <w:jc w:val="center"/>
              <w:rPr>
                <w:color w:val="000000"/>
                <w:sz w:val="24"/>
                <w:szCs w:val="24"/>
              </w:rPr>
            </w:pPr>
            <w:r w:rsidDel="00000000" w:rsidR="00000000" w:rsidRPr="00000000">
              <w:rPr>
                <w:color w:val="000000"/>
                <w:sz w:val="24"/>
                <w:szCs w:val="24"/>
                <w:rtl w:val="0"/>
              </w:rPr>
              <w:t xml:space="preserve">69 515</w:t>
            </w:r>
          </w:p>
        </w:tc>
        <w:tc>
          <w:tcPr/>
          <w:p w:rsidR="00000000" w:rsidDel="00000000" w:rsidP="00000000" w:rsidRDefault="00000000" w:rsidRPr="00000000" w14:paraId="000000B1">
            <w:pPr>
              <w:pBdr>
                <w:top w:space="0" w:sz="0" w:val="nil"/>
                <w:left w:space="0" w:sz="0" w:val="nil"/>
                <w:bottom w:space="0" w:sz="0" w:val="nil"/>
                <w:right w:space="0" w:sz="0" w:val="nil"/>
                <w:between w:space="0" w:sz="0" w:val="nil"/>
              </w:pBdr>
              <w:spacing w:after="0" w:before="0" w:lineRule="auto"/>
              <w:ind w:hanging="2"/>
              <w:jc w:val="center"/>
              <w:rPr>
                <w:color w:val="000000"/>
                <w:sz w:val="24"/>
                <w:szCs w:val="24"/>
                <w:highlight w:val="yellow"/>
              </w:rPr>
            </w:pPr>
            <w:r w:rsidDel="00000000" w:rsidR="00000000" w:rsidRPr="00000000">
              <w:rPr>
                <w:color w:val="000000"/>
                <w:sz w:val="24"/>
                <w:szCs w:val="24"/>
                <w:rtl w:val="0"/>
              </w:rPr>
              <w:t xml:space="preserve">58 678</w:t>
            </w:r>
            <w:r w:rsidDel="00000000" w:rsidR="00000000" w:rsidRPr="00000000">
              <w:rPr>
                <w:rtl w:val="0"/>
              </w:rPr>
            </w:r>
          </w:p>
        </w:tc>
        <w:tc>
          <w:tcPr/>
          <w:p w:rsidR="00000000" w:rsidDel="00000000" w:rsidP="00000000" w:rsidRDefault="00000000" w:rsidRPr="00000000" w14:paraId="000000B2">
            <w:pPr>
              <w:pBdr>
                <w:top w:space="0" w:sz="0" w:val="nil"/>
                <w:left w:space="0" w:sz="0" w:val="nil"/>
                <w:bottom w:space="0" w:sz="0" w:val="nil"/>
                <w:right w:space="0" w:sz="0" w:val="nil"/>
                <w:between w:space="0" w:sz="0" w:val="nil"/>
              </w:pBdr>
              <w:spacing w:after="0" w:before="0" w:lineRule="auto"/>
              <w:ind w:hanging="2"/>
              <w:jc w:val="center"/>
              <w:rPr>
                <w:color w:val="000000"/>
                <w:sz w:val="24"/>
                <w:szCs w:val="24"/>
              </w:rPr>
            </w:pPr>
            <w:r w:rsidDel="00000000" w:rsidR="00000000" w:rsidRPr="00000000">
              <w:rPr>
                <w:color w:val="000000"/>
                <w:sz w:val="24"/>
                <w:szCs w:val="24"/>
                <w:rtl w:val="0"/>
              </w:rPr>
              <w:t xml:space="preserve">II</w:t>
            </w:r>
          </w:p>
        </w:tc>
        <w:tc>
          <w:tcPr/>
          <w:p w:rsidR="00000000" w:rsidDel="00000000" w:rsidP="00000000" w:rsidRDefault="00000000" w:rsidRPr="00000000" w14:paraId="000000B3">
            <w:pPr>
              <w:spacing w:after="0" w:before="0" w:lineRule="auto"/>
              <w:jc w:val="both"/>
              <w:rPr>
                <w:sz w:val="24"/>
                <w:szCs w:val="24"/>
              </w:rPr>
            </w:pPr>
            <w:r w:rsidDel="00000000" w:rsidR="00000000" w:rsidRPr="00000000">
              <w:rPr>
                <w:sz w:val="24"/>
                <w:szCs w:val="24"/>
                <w:rtl w:val="0"/>
              </w:rPr>
              <w:t xml:space="preserve">Managed by Agency of Protected Areas</w:t>
            </w:r>
          </w:p>
        </w:tc>
      </w:tr>
      <w:tr>
        <w:trPr>
          <w:cantSplit w:val="0"/>
          <w:trHeight w:val="674" w:hRule="atLeast"/>
          <w:tblHeader w:val="0"/>
        </w:trPr>
        <w:tc>
          <w:tcPr/>
          <w:p w:rsidR="00000000" w:rsidDel="00000000" w:rsidP="00000000" w:rsidRDefault="00000000" w:rsidRPr="00000000" w14:paraId="000000B4">
            <w:pPr>
              <w:pBdr>
                <w:top w:space="0" w:sz="0" w:val="nil"/>
                <w:left w:space="0" w:sz="0" w:val="nil"/>
                <w:bottom w:space="0" w:sz="0" w:val="nil"/>
                <w:right w:space="0" w:sz="0" w:val="nil"/>
                <w:between w:space="0" w:sz="0" w:val="nil"/>
              </w:pBdr>
              <w:spacing w:after="0" w:before="0" w:lineRule="auto"/>
              <w:ind w:hanging="2"/>
              <w:rPr>
                <w:color w:val="000000"/>
                <w:sz w:val="24"/>
                <w:szCs w:val="24"/>
              </w:rPr>
            </w:pPr>
            <w:r w:rsidDel="00000000" w:rsidR="00000000" w:rsidRPr="00000000">
              <w:rPr>
                <w:color w:val="000000"/>
                <w:sz w:val="24"/>
                <w:szCs w:val="24"/>
                <w:rtl w:val="0"/>
              </w:rPr>
              <w:t xml:space="preserve">2</w:t>
            </w:r>
          </w:p>
        </w:tc>
        <w:tc>
          <w:tcPr/>
          <w:p w:rsidR="00000000" w:rsidDel="00000000" w:rsidP="00000000" w:rsidRDefault="00000000" w:rsidRPr="00000000" w14:paraId="000000B5">
            <w:pPr>
              <w:pBdr>
                <w:top w:space="0" w:sz="0" w:val="nil"/>
                <w:left w:space="0" w:sz="0" w:val="nil"/>
                <w:bottom w:space="0" w:sz="0" w:val="nil"/>
                <w:right w:space="0" w:sz="0" w:val="nil"/>
                <w:between w:space="0" w:sz="0" w:val="nil"/>
              </w:pBdr>
              <w:spacing w:after="0" w:before="0" w:lineRule="auto"/>
              <w:ind w:hanging="2"/>
              <w:rPr>
                <w:color w:val="000000"/>
                <w:sz w:val="24"/>
                <w:szCs w:val="24"/>
              </w:rPr>
            </w:pPr>
            <w:r w:rsidDel="00000000" w:rsidR="00000000" w:rsidRPr="00000000">
              <w:rPr>
                <w:color w:val="000000"/>
                <w:sz w:val="24"/>
                <w:szCs w:val="24"/>
                <w:rtl w:val="0"/>
              </w:rPr>
              <w:t xml:space="preserve">Tusheti Protected Landscape (IUCN Cat.V)</w:t>
            </w:r>
          </w:p>
        </w:tc>
        <w:tc>
          <w:tcPr/>
          <w:p w:rsidR="00000000" w:rsidDel="00000000" w:rsidP="00000000" w:rsidRDefault="00000000" w:rsidRPr="00000000" w14:paraId="000000B6">
            <w:pPr>
              <w:pBdr>
                <w:top w:space="0" w:sz="0" w:val="nil"/>
                <w:left w:space="0" w:sz="0" w:val="nil"/>
                <w:bottom w:space="0" w:sz="0" w:val="nil"/>
                <w:right w:space="0" w:sz="0" w:val="nil"/>
                <w:between w:space="0" w:sz="0" w:val="nil"/>
              </w:pBdr>
              <w:spacing w:after="0" w:before="0" w:lineRule="auto"/>
              <w:ind w:hanging="2"/>
              <w:jc w:val="center"/>
              <w:rPr>
                <w:color w:val="000000"/>
                <w:sz w:val="24"/>
                <w:szCs w:val="24"/>
                <w:highlight w:val="yellow"/>
              </w:rPr>
            </w:pPr>
            <w:r w:rsidDel="00000000" w:rsidR="00000000" w:rsidRPr="00000000">
              <w:rPr>
                <w:color w:val="000000"/>
                <w:sz w:val="24"/>
                <w:szCs w:val="24"/>
                <w:rtl w:val="0"/>
              </w:rPr>
              <w:t xml:space="preserve">31 518</w:t>
            </w:r>
            <w:r w:rsidDel="00000000" w:rsidR="00000000" w:rsidRPr="00000000">
              <w:rPr>
                <w:rtl w:val="0"/>
              </w:rPr>
            </w:r>
          </w:p>
        </w:tc>
        <w:tc>
          <w:tcPr/>
          <w:p w:rsidR="00000000" w:rsidDel="00000000" w:rsidP="00000000" w:rsidRDefault="00000000" w:rsidRPr="00000000" w14:paraId="000000B7">
            <w:pPr>
              <w:pBdr>
                <w:top w:space="0" w:sz="0" w:val="nil"/>
                <w:left w:space="0" w:sz="0" w:val="nil"/>
                <w:bottom w:space="0" w:sz="0" w:val="nil"/>
                <w:right w:space="0" w:sz="0" w:val="nil"/>
                <w:between w:space="0" w:sz="0" w:val="nil"/>
              </w:pBdr>
              <w:spacing w:after="0" w:before="0" w:lineRule="auto"/>
              <w:ind w:hanging="2"/>
              <w:jc w:val="center"/>
              <w:rPr>
                <w:color w:val="000000"/>
                <w:sz w:val="24"/>
                <w:szCs w:val="24"/>
                <w:highlight w:val="yellow"/>
              </w:rPr>
            </w:pPr>
            <w:r w:rsidDel="00000000" w:rsidR="00000000" w:rsidRPr="00000000">
              <w:rPr>
                <w:color w:val="000000"/>
                <w:sz w:val="24"/>
                <w:szCs w:val="24"/>
                <w:rtl w:val="0"/>
              </w:rPr>
              <w:t xml:space="preserve">5 195</w:t>
            </w:r>
            <w:r w:rsidDel="00000000" w:rsidR="00000000" w:rsidRPr="00000000">
              <w:rPr>
                <w:rtl w:val="0"/>
              </w:rPr>
            </w:r>
          </w:p>
        </w:tc>
        <w:tc>
          <w:tcPr/>
          <w:p w:rsidR="00000000" w:rsidDel="00000000" w:rsidP="00000000" w:rsidRDefault="00000000" w:rsidRPr="00000000" w14:paraId="000000B8">
            <w:pPr>
              <w:pBdr>
                <w:top w:space="0" w:sz="0" w:val="nil"/>
                <w:left w:space="0" w:sz="0" w:val="nil"/>
                <w:bottom w:space="0" w:sz="0" w:val="nil"/>
                <w:right w:space="0" w:sz="0" w:val="nil"/>
                <w:between w:space="0" w:sz="0" w:val="nil"/>
              </w:pBdr>
              <w:spacing w:after="0" w:before="0" w:lineRule="auto"/>
              <w:ind w:hanging="2"/>
              <w:jc w:val="center"/>
              <w:rPr>
                <w:color w:val="000000"/>
                <w:sz w:val="24"/>
                <w:szCs w:val="24"/>
              </w:rPr>
            </w:pPr>
            <w:r w:rsidDel="00000000" w:rsidR="00000000" w:rsidRPr="00000000">
              <w:rPr>
                <w:color w:val="000000"/>
                <w:sz w:val="24"/>
                <w:szCs w:val="24"/>
                <w:rtl w:val="0"/>
              </w:rPr>
              <w:t xml:space="preserve">V</w:t>
            </w:r>
          </w:p>
        </w:tc>
        <w:tc>
          <w:tcPr/>
          <w:p w:rsidR="00000000" w:rsidDel="00000000" w:rsidP="00000000" w:rsidRDefault="00000000" w:rsidRPr="00000000" w14:paraId="000000B9">
            <w:pPr>
              <w:spacing w:after="0" w:before="0" w:lineRule="auto"/>
              <w:ind w:hanging="2"/>
              <w:jc w:val="both"/>
              <w:rPr>
                <w:sz w:val="24"/>
                <w:szCs w:val="24"/>
              </w:rPr>
            </w:pPr>
            <w:r w:rsidDel="00000000" w:rsidR="00000000" w:rsidRPr="00000000">
              <w:rPr>
                <w:sz w:val="24"/>
                <w:szCs w:val="24"/>
                <w:rtl w:val="0"/>
              </w:rPr>
              <w:t xml:space="preserve">Managed by Tusheti Protected Landscape Administration,  Akhmeta Municipality</w:t>
            </w:r>
          </w:p>
        </w:tc>
      </w:tr>
      <w:tr>
        <w:trPr>
          <w:cantSplit w:val="0"/>
          <w:trHeight w:val="994" w:hRule="atLeast"/>
          <w:tblHeader w:val="0"/>
        </w:trPr>
        <w:tc>
          <w:tcPr/>
          <w:p w:rsidR="00000000" w:rsidDel="00000000" w:rsidP="00000000" w:rsidRDefault="00000000" w:rsidRPr="00000000" w14:paraId="000000BA">
            <w:pPr>
              <w:pBdr>
                <w:top w:space="0" w:sz="0" w:val="nil"/>
                <w:left w:space="0" w:sz="0" w:val="nil"/>
                <w:bottom w:space="0" w:sz="0" w:val="nil"/>
                <w:right w:space="0" w:sz="0" w:val="nil"/>
                <w:between w:space="0" w:sz="0" w:val="nil"/>
              </w:pBdr>
              <w:spacing w:after="0" w:before="0" w:lineRule="auto"/>
              <w:ind w:hanging="2"/>
              <w:rPr>
                <w:color w:val="000000"/>
                <w:sz w:val="24"/>
                <w:szCs w:val="24"/>
              </w:rPr>
            </w:pPr>
            <w:r w:rsidDel="00000000" w:rsidR="00000000" w:rsidRPr="00000000">
              <w:rPr>
                <w:color w:val="000000"/>
                <w:sz w:val="24"/>
                <w:szCs w:val="24"/>
                <w:rtl w:val="0"/>
              </w:rPr>
              <w:t xml:space="preserve">3</w:t>
            </w:r>
          </w:p>
        </w:tc>
        <w:tc>
          <w:tcPr/>
          <w:p w:rsidR="00000000" w:rsidDel="00000000" w:rsidP="00000000" w:rsidRDefault="00000000" w:rsidRPr="00000000" w14:paraId="000000BB">
            <w:pPr>
              <w:pBdr>
                <w:top w:space="0" w:sz="0" w:val="nil"/>
                <w:left w:space="0" w:sz="0" w:val="nil"/>
                <w:bottom w:space="0" w:sz="0" w:val="nil"/>
                <w:right w:space="0" w:sz="0" w:val="nil"/>
                <w:between w:space="0" w:sz="0" w:val="nil"/>
              </w:pBdr>
              <w:spacing w:after="0" w:before="0" w:lineRule="auto"/>
              <w:ind w:hanging="2"/>
              <w:rPr>
                <w:color w:val="000000"/>
                <w:sz w:val="24"/>
                <w:szCs w:val="24"/>
              </w:rPr>
            </w:pPr>
            <w:r w:rsidDel="00000000" w:rsidR="00000000" w:rsidRPr="00000000">
              <w:rPr>
                <w:color w:val="000000"/>
                <w:sz w:val="24"/>
                <w:szCs w:val="24"/>
                <w:rtl w:val="0"/>
              </w:rPr>
              <w:t xml:space="preserve">Ilto Habitat/Species Management Area (IUCN Cat.IV)</w:t>
            </w:r>
          </w:p>
        </w:tc>
        <w:tc>
          <w:tcPr/>
          <w:p w:rsidR="00000000" w:rsidDel="00000000" w:rsidP="00000000" w:rsidRDefault="00000000" w:rsidRPr="00000000" w14:paraId="000000BC">
            <w:pPr>
              <w:pBdr>
                <w:top w:space="0" w:sz="0" w:val="nil"/>
                <w:left w:space="0" w:sz="0" w:val="nil"/>
                <w:bottom w:space="0" w:sz="0" w:val="nil"/>
                <w:right w:space="0" w:sz="0" w:val="nil"/>
                <w:between w:space="0" w:sz="0" w:val="nil"/>
              </w:pBdr>
              <w:spacing w:after="0" w:before="0" w:lineRule="auto"/>
              <w:ind w:hanging="2"/>
              <w:jc w:val="center"/>
              <w:rPr>
                <w:color w:val="000000"/>
                <w:sz w:val="24"/>
                <w:szCs w:val="24"/>
              </w:rPr>
            </w:pPr>
            <w:r w:rsidDel="00000000" w:rsidR="00000000" w:rsidRPr="00000000">
              <w:rPr>
                <w:color w:val="000000"/>
                <w:sz w:val="24"/>
                <w:szCs w:val="24"/>
                <w:rtl w:val="0"/>
              </w:rPr>
              <w:t xml:space="preserve">7 591</w:t>
            </w:r>
          </w:p>
        </w:tc>
        <w:tc>
          <w:tcPr/>
          <w:p w:rsidR="00000000" w:rsidDel="00000000" w:rsidP="00000000" w:rsidRDefault="00000000" w:rsidRPr="00000000" w14:paraId="000000BD">
            <w:pPr>
              <w:pBdr>
                <w:top w:space="0" w:sz="0" w:val="nil"/>
                <w:left w:space="0" w:sz="0" w:val="nil"/>
                <w:bottom w:space="0" w:sz="0" w:val="nil"/>
                <w:right w:space="0" w:sz="0" w:val="nil"/>
                <w:between w:space="0" w:sz="0" w:val="nil"/>
              </w:pBdr>
              <w:spacing w:after="0" w:before="0" w:lineRule="auto"/>
              <w:ind w:hanging="2"/>
              <w:jc w:val="center"/>
              <w:rPr>
                <w:color w:val="000000"/>
                <w:sz w:val="24"/>
                <w:szCs w:val="24"/>
                <w:highlight w:val="yellow"/>
              </w:rPr>
            </w:pPr>
            <w:r w:rsidDel="00000000" w:rsidR="00000000" w:rsidRPr="00000000">
              <w:rPr>
                <w:color w:val="000000"/>
                <w:sz w:val="24"/>
                <w:szCs w:val="24"/>
                <w:rtl w:val="0"/>
              </w:rPr>
              <w:t xml:space="preserve">7 591</w:t>
            </w:r>
            <w:r w:rsidDel="00000000" w:rsidR="00000000" w:rsidRPr="00000000">
              <w:rPr>
                <w:rtl w:val="0"/>
              </w:rPr>
            </w:r>
          </w:p>
        </w:tc>
        <w:tc>
          <w:tcPr/>
          <w:p w:rsidR="00000000" w:rsidDel="00000000" w:rsidP="00000000" w:rsidRDefault="00000000" w:rsidRPr="00000000" w14:paraId="000000BE">
            <w:pPr>
              <w:pBdr>
                <w:top w:space="0" w:sz="0" w:val="nil"/>
                <w:left w:space="0" w:sz="0" w:val="nil"/>
                <w:bottom w:space="0" w:sz="0" w:val="nil"/>
                <w:right w:space="0" w:sz="0" w:val="nil"/>
                <w:between w:space="0" w:sz="0" w:val="nil"/>
              </w:pBdr>
              <w:spacing w:after="0" w:before="0" w:lineRule="auto"/>
              <w:ind w:hanging="2"/>
              <w:jc w:val="center"/>
              <w:rPr>
                <w:color w:val="000000"/>
                <w:sz w:val="24"/>
                <w:szCs w:val="24"/>
              </w:rPr>
            </w:pPr>
            <w:r w:rsidDel="00000000" w:rsidR="00000000" w:rsidRPr="00000000">
              <w:rPr>
                <w:color w:val="000000"/>
                <w:sz w:val="24"/>
                <w:szCs w:val="24"/>
                <w:rtl w:val="0"/>
              </w:rPr>
              <w:t xml:space="preserve">IV</w:t>
            </w:r>
          </w:p>
        </w:tc>
        <w:tc>
          <w:tcPr/>
          <w:p w:rsidR="00000000" w:rsidDel="00000000" w:rsidP="00000000" w:rsidRDefault="00000000" w:rsidRPr="00000000" w14:paraId="000000BF">
            <w:pPr>
              <w:spacing w:after="0" w:before="0" w:lineRule="auto"/>
              <w:jc w:val="both"/>
              <w:rPr>
                <w:sz w:val="24"/>
                <w:szCs w:val="24"/>
              </w:rPr>
            </w:pPr>
            <w:r w:rsidDel="00000000" w:rsidR="00000000" w:rsidRPr="00000000">
              <w:rPr>
                <w:sz w:val="24"/>
                <w:szCs w:val="24"/>
                <w:rtl w:val="0"/>
              </w:rPr>
              <w:t xml:space="preserve">Managed by the Agency of Protected Areas</w:t>
            </w:r>
          </w:p>
        </w:tc>
      </w:tr>
    </w:tbl>
    <w:p w:rsidR="00000000" w:rsidDel="00000000" w:rsidP="00000000" w:rsidRDefault="00000000" w:rsidRPr="00000000" w14:paraId="000000C0">
      <w:pPr>
        <w:spacing w:line="276" w:lineRule="auto"/>
        <w:jc w:val="both"/>
        <w:rPr>
          <w:sz w:val="24"/>
          <w:szCs w:val="24"/>
        </w:rPr>
      </w:pPr>
      <w:r w:rsidDel="00000000" w:rsidR="00000000" w:rsidRPr="00000000">
        <w:rPr>
          <w:b w:val="1"/>
          <w:sz w:val="24"/>
          <w:szCs w:val="24"/>
          <w:rtl w:val="0"/>
        </w:rPr>
        <w:t xml:space="preserve">The transition zone</w:t>
      </w:r>
      <w:r w:rsidDel="00000000" w:rsidR="00000000" w:rsidRPr="00000000">
        <w:rPr>
          <w:sz w:val="24"/>
          <w:szCs w:val="24"/>
          <w:rtl w:val="0"/>
        </w:rPr>
        <w:t xml:space="preserve"> constitutes 48.5% of the total area of the biosphere reserve, accounting for 96,834 hectares. This zone aims to introduce sustainable practices for natural resource utilization.</w:t>
      </w:r>
    </w:p>
    <w:p w:rsidR="00000000" w:rsidDel="00000000" w:rsidP="00000000" w:rsidRDefault="00000000" w:rsidRPr="00000000" w14:paraId="000000C1">
      <w:pPr>
        <w:spacing w:line="276" w:lineRule="auto"/>
        <w:jc w:val="both"/>
        <w:rPr>
          <w:sz w:val="24"/>
          <w:szCs w:val="24"/>
        </w:rPr>
      </w:pPr>
      <w:r w:rsidDel="00000000" w:rsidR="00000000" w:rsidRPr="00000000">
        <w:rPr>
          <w:sz w:val="24"/>
          <w:szCs w:val="24"/>
          <w:rtl w:val="0"/>
        </w:rPr>
        <w:t xml:space="preserve">More or less, the same applies </w:t>
      </w:r>
      <w:r w:rsidDel="00000000" w:rsidR="00000000" w:rsidRPr="00000000">
        <w:rPr>
          <w:b w:val="1"/>
          <w:sz w:val="24"/>
          <w:szCs w:val="24"/>
          <w:rtl w:val="0"/>
        </w:rPr>
        <w:t xml:space="preserve">to the buffer zones</w:t>
      </w:r>
      <w:r w:rsidDel="00000000" w:rsidR="00000000" w:rsidRPr="00000000">
        <w:rPr>
          <w:sz w:val="24"/>
          <w:szCs w:val="24"/>
          <w:rtl w:val="0"/>
        </w:rPr>
        <w:t xml:space="preserve"> which are covered by legislation and specific regulations that apply to areas of national interest: National Parks, Protected Landscapes and Habitat/Species Management Areas. The Buffer Zones surrounding the Core Areas located in the south-eastern part of the BR and the area along the Alazani River in the south-eastern part of the BR are under the management of the National Forestry Agency. </w:t>
      </w:r>
    </w:p>
    <w:p w:rsidR="00000000" w:rsidDel="00000000" w:rsidP="00000000" w:rsidRDefault="00000000" w:rsidRPr="00000000" w14:paraId="000000C2">
      <w:pPr>
        <w:spacing w:after="120" w:line="276" w:lineRule="auto"/>
        <w:ind w:hanging="2"/>
        <w:jc w:val="both"/>
        <w:rPr>
          <w:sz w:val="24"/>
          <w:szCs w:val="24"/>
        </w:rPr>
      </w:pPr>
      <w:r w:rsidDel="00000000" w:rsidR="00000000" w:rsidRPr="00000000">
        <w:rPr>
          <w:sz w:val="24"/>
          <w:szCs w:val="24"/>
          <w:rtl w:val="0"/>
        </w:rPr>
        <w:t xml:space="preserve">The outer boundary of the transition area was designated after consultations with major stakeholders in order to support sustainable economic development. It comprises approximately 48.5% of the total area of the Biosphere Reserve. The population of the transition area exceeds 15,000 inhabitants. It includes all of the villages of the BR, except two which are located in buffer zones. </w:t>
      </w:r>
    </w:p>
    <w:p w:rsidR="00000000" w:rsidDel="00000000" w:rsidP="00000000" w:rsidRDefault="00000000" w:rsidRPr="00000000" w14:paraId="000000C3">
      <w:pPr>
        <w:spacing w:after="120" w:line="276" w:lineRule="auto"/>
        <w:ind w:hanging="2"/>
        <w:jc w:val="both"/>
        <w:rPr>
          <w:sz w:val="24"/>
          <w:szCs w:val="24"/>
        </w:rPr>
      </w:pPr>
      <w:r w:rsidDel="00000000" w:rsidR="00000000" w:rsidRPr="00000000">
        <w:rPr>
          <w:sz w:val="24"/>
          <w:szCs w:val="24"/>
          <w:rtl w:val="0"/>
        </w:rPr>
        <w:t xml:space="preserve">Most of the settlements are concentrated in the southern part of the transition area. In the northern area – in Tusheti – only about 25 households</w:t>
      </w:r>
      <w:r w:rsidDel="00000000" w:rsidR="00000000" w:rsidRPr="00000000">
        <w:rPr>
          <w:sz w:val="24"/>
          <w:szCs w:val="24"/>
          <w:vertAlign w:val="superscript"/>
        </w:rPr>
        <w:footnoteReference w:customMarkFollows="0" w:id="2"/>
      </w:r>
      <w:r w:rsidDel="00000000" w:rsidR="00000000" w:rsidRPr="00000000">
        <w:rPr>
          <w:sz w:val="24"/>
          <w:szCs w:val="24"/>
          <w:rtl w:val="0"/>
        </w:rPr>
        <w:t xml:space="preserve"> are living permanently in several villages. This area is sparsely populated because geographical and climatic conditions do not allow any vehicle access during the winter time. </w:t>
      </w:r>
    </w:p>
    <w:p w:rsidR="00000000" w:rsidDel="00000000" w:rsidP="00000000" w:rsidRDefault="00000000" w:rsidRPr="00000000" w14:paraId="000000C4">
      <w:pPr>
        <w:spacing w:after="120" w:line="276" w:lineRule="auto"/>
        <w:ind w:hanging="2"/>
        <w:jc w:val="both"/>
        <w:rPr>
          <w:sz w:val="24"/>
          <w:szCs w:val="24"/>
        </w:rPr>
      </w:pPr>
      <w:r w:rsidDel="00000000" w:rsidR="00000000" w:rsidRPr="00000000">
        <w:rPr>
          <w:sz w:val="24"/>
          <w:szCs w:val="24"/>
          <w:rtl w:val="0"/>
        </w:rPr>
        <w:t xml:space="preserve">This zone in the northern part includes the Sustainable Development Zone, the Traditional Use Zone and the Historical-Cultural Zone of the Tusheti Protected Landscape as well as the remaining lowland area in the south.</w:t>
      </w:r>
    </w:p>
    <w:p w:rsidR="00000000" w:rsidDel="00000000" w:rsidP="00000000" w:rsidRDefault="00000000" w:rsidRPr="00000000" w14:paraId="000000C5">
      <w:pPr>
        <w:ind w:hanging="2"/>
        <w:rPr>
          <w:b w:val="1"/>
          <w:sz w:val="24"/>
          <w:szCs w:val="24"/>
        </w:rPr>
      </w:pPr>
      <w:r w:rsidDel="00000000" w:rsidR="00000000" w:rsidRPr="00000000">
        <w:rPr>
          <w:b w:val="1"/>
          <w:sz w:val="24"/>
          <w:szCs w:val="24"/>
          <w:rtl w:val="0"/>
        </w:rPr>
        <w:t xml:space="preserve">Administrative authorities having competencies for particular zones and areas:</w:t>
      </w:r>
    </w:p>
    <w:p w:rsidR="00000000" w:rsidDel="00000000" w:rsidP="00000000" w:rsidRDefault="00000000" w:rsidRPr="00000000" w14:paraId="000000C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240" w:line="276" w:lineRule="auto"/>
        <w:ind w:left="718"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Core area: Agency of Protected Areas in Georgia, Akhmeta Municipality</w:t>
      </w:r>
    </w:p>
    <w:p w:rsidR="00000000" w:rsidDel="00000000" w:rsidP="00000000" w:rsidRDefault="00000000" w:rsidRPr="00000000" w14:paraId="000000C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18"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Buffer zone: Agency of Protected Areas in Georgia, National Forest Agency, Akhmeta Municipality, Telavi Municipality</w:t>
      </w:r>
    </w:p>
    <w:p w:rsidR="00000000" w:rsidDel="00000000" w:rsidP="00000000" w:rsidRDefault="00000000" w:rsidRPr="00000000" w14:paraId="000000C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0" w:line="276" w:lineRule="auto"/>
        <w:ind w:left="718"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Transition area: National Forest Agency, Akhmeta Municipality, Telavi Municipality</w:t>
      </w:r>
    </w:p>
    <w:p w:rsidR="00000000" w:rsidDel="00000000" w:rsidP="00000000" w:rsidRDefault="00000000" w:rsidRPr="00000000" w14:paraId="000000C9">
      <w:pPr>
        <w:spacing w:after="120" w:line="276" w:lineRule="auto"/>
        <w:ind w:hanging="2"/>
        <w:jc w:val="both"/>
        <w:rPr>
          <w:sz w:val="24"/>
          <w:szCs w:val="24"/>
        </w:rPr>
      </w:pPr>
      <w:r w:rsidDel="00000000" w:rsidR="00000000" w:rsidRPr="00000000">
        <w:rPr>
          <w:sz w:val="24"/>
          <w:szCs w:val="24"/>
          <w:rtl w:val="0"/>
        </w:rPr>
        <w:t xml:space="preserve">As the population residing within the </w:t>
      </w:r>
      <w:r w:rsidDel="00000000" w:rsidR="00000000" w:rsidRPr="00000000">
        <w:rPr>
          <w:b w:val="1"/>
          <w:sz w:val="24"/>
          <w:szCs w:val="24"/>
          <w:rtl w:val="0"/>
        </w:rPr>
        <w:t xml:space="preserve">transition zone </w:t>
      </w:r>
      <w:r w:rsidDel="00000000" w:rsidR="00000000" w:rsidRPr="00000000">
        <w:rPr>
          <w:sz w:val="24"/>
          <w:szCs w:val="24"/>
          <w:rtl w:val="0"/>
        </w:rPr>
        <w:t xml:space="preserve">exceeds 150,000 individuals, encompassing villages located within the Biosphere Reserve. Hence, the involvement and collaboration of Akhmet and Telavi municipalities are crucial in the management process of the biosphere reserve.</w:t>
      </w:r>
    </w:p>
    <w:p w:rsidR="00000000" w:rsidDel="00000000" w:rsidP="00000000" w:rsidRDefault="00000000" w:rsidRPr="00000000" w14:paraId="000000CA">
      <w:pPr>
        <w:pStyle w:val="Heading1"/>
        <w:numPr>
          <w:ilvl w:val="0"/>
          <w:numId w:val="11"/>
        </w:numPr>
        <w:spacing w:line="276" w:lineRule="auto"/>
        <w:ind w:left="720" w:hanging="360"/>
        <w:rPr>
          <w:sz w:val="24"/>
          <w:szCs w:val="24"/>
        </w:rPr>
      </w:pPr>
      <w:bookmarkStart w:colFirst="0" w:colLast="0" w:name="_heading=h.4d34og8" w:id="8"/>
      <w:bookmarkEnd w:id="8"/>
      <w:r w:rsidDel="00000000" w:rsidR="00000000" w:rsidRPr="00000000">
        <w:rPr>
          <w:sz w:val="24"/>
          <w:szCs w:val="24"/>
          <w:rtl w:val="0"/>
        </w:rPr>
        <w:t xml:space="preserve">Scope of Work</w:t>
      </w:r>
    </w:p>
    <w:p w:rsidR="00000000" w:rsidDel="00000000" w:rsidP="00000000" w:rsidRDefault="00000000" w:rsidRPr="00000000" w14:paraId="000000CB">
      <w:pPr>
        <w:tabs>
          <w:tab w:val="left" w:leader="none" w:pos="8789"/>
        </w:tabs>
        <w:spacing w:line="276" w:lineRule="auto"/>
        <w:ind w:left="-2" w:firstLine="0"/>
        <w:jc w:val="both"/>
        <w:rPr>
          <w:sz w:val="24"/>
          <w:szCs w:val="24"/>
        </w:rPr>
      </w:pPr>
      <w:r w:rsidDel="00000000" w:rsidR="00000000" w:rsidRPr="00000000">
        <w:rPr>
          <w:sz w:val="24"/>
          <w:szCs w:val="24"/>
          <w:rtl w:val="0"/>
        </w:rPr>
        <w:t xml:space="preserve">As of today, the establishment and management of biosphere reserves in Georgia is regulated by the Law of Georgia on the System of Protected Areas that defines the purpose of establishing a biosphere reserve, the criteria for selecting an area for establishing a biosphere reserve, the zoning of a biosphere reserve and the activities allowed in separate zones within it. The Law on the System of Protected Areas does not fully define the issues of the establishment and the management of a biosphere reserve. </w:t>
      </w:r>
    </w:p>
    <w:p w:rsidR="00000000" w:rsidDel="00000000" w:rsidP="00000000" w:rsidRDefault="00000000" w:rsidRPr="00000000" w14:paraId="000000CC">
      <w:pPr>
        <w:tabs>
          <w:tab w:val="left" w:leader="none" w:pos="8789"/>
        </w:tabs>
        <w:spacing w:line="276" w:lineRule="auto"/>
        <w:jc w:val="both"/>
        <w:rPr>
          <w:sz w:val="24"/>
          <w:szCs w:val="24"/>
        </w:rPr>
      </w:pPr>
      <w:r w:rsidDel="00000000" w:rsidR="00000000" w:rsidRPr="00000000">
        <w:rPr>
          <w:sz w:val="24"/>
          <w:szCs w:val="24"/>
          <w:rtl w:val="0"/>
        </w:rPr>
        <w:t xml:space="preserve">The draft Law on Biodiversity, which is currently being considered by Parliament of Georgia, includes provisions for the nomination, establishment and management of biosphere reserves in Georgia. However, it needs to be further elaborated. </w:t>
      </w:r>
    </w:p>
    <w:p w:rsidR="00000000" w:rsidDel="00000000" w:rsidP="00000000" w:rsidRDefault="00000000" w:rsidRPr="00000000" w14:paraId="000000CD">
      <w:pPr>
        <w:tabs>
          <w:tab w:val="left" w:leader="none" w:pos="8789"/>
        </w:tabs>
        <w:spacing w:line="276" w:lineRule="auto"/>
        <w:jc w:val="both"/>
        <w:rPr>
          <w:b w:val="1"/>
          <w:sz w:val="24"/>
          <w:szCs w:val="24"/>
        </w:rPr>
      </w:pPr>
      <w:r w:rsidDel="00000000" w:rsidR="00000000" w:rsidRPr="00000000">
        <w:rPr>
          <w:sz w:val="24"/>
          <w:szCs w:val="24"/>
          <w:rtl w:val="0"/>
        </w:rPr>
        <w:t xml:space="preserve">The objective of this assignment is to assist the Ministry of Environmental Protection and Agriculture of Georgia in conducting a comprehensive legal analysis of relevant legislative documents. This analysis aims to define the governance and management structure, as well as the modalities, of the Biosphere Reserve (BR). The findings of the analysis will be incorporated into the draft Biodiversity Law. Additionally, the governance and management structure of the Three Alazani Rivers BR will be established as part of this process</w:t>
      </w:r>
      <w:r w:rsidDel="00000000" w:rsidR="00000000" w:rsidRPr="00000000">
        <w:rPr>
          <w:b w:val="1"/>
          <w:sz w:val="24"/>
          <w:szCs w:val="24"/>
          <w:rtl w:val="0"/>
        </w:rPr>
        <w:t xml:space="preserve">.</w:t>
      </w:r>
    </w:p>
    <w:p w:rsidR="00000000" w:rsidDel="00000000" w:rsidP="00000000" w:rsidRDefault="00000000" w:rsidRPr="00000000" w14:paraId="000000CE">
      <w:pPr>
        <w:tabs>
          <w:tab w:val="left" w:leader="none" w:pos="8789"/>
        </w:tabs>
        <w:spacing w:line="276" w:lineRule="auto"/>
        <w:jc w:val="both"/>
        <w:rPr>
          <w:b w:val="1"/>
          <w:sz w:val="24"/>
          <w:szCs w:val="24"/>
        </w:rPr>
      </w:pPr>
      <w:r w:rsidDel="00000000" w:rsidR="00000000" w:rsidRPr="00000000">
        <w:rPr>
          <w:sz w:val="24"/>
          <w:szCs w:val="24"/>
          <w:rtl w:val="0"/>
        </w:rPr>
        <w:t xml:space="preserve">The legal advisor will be responsible for, but not limited to, implementing the following activities under </w:t>
      </w:r>
      <w:r w:rsidDel="00000000" w:rsidR="00000000" w:rsidRPr="00000000">
        <w:rPr>
          <w:b w:val="1"/>
          <w:sz w:val="24"/>
          <w:szCs w:val="24"/>
          <w:rtl w:val="0"/>
        </w:rPr>
        <w:t xml:space="preserve">output 1. Gender-responsive BR governing, management and advisory bodies are established and operational.</w:t>
      </w:r>
    </w:p>
    <w:p w:rsidR="00000000" w:rsidDel="00000000" w:rsidP="00000000" w:rsidRDefault="00000000" w:rsidRPr="00000000" w14:paraId="000000CF">
      <w:pPr>
        <w:tabs>
          <w:tab w:val="left" w:leader="none" w:pos="8789"/>
        </w:tabs>
        <w:spacing w:line="276" w:lineRule="auto"/>
        <w:jc w:val="both"/>
        <w:rPr>
          <w:b w:val="1"/>
          <w:sz w:val="24"/>
          <w:szCs w:val="24"/>
        </w:rPr>
      </w:pPr>
      <w:r w:rsidDel="00000000" w:rsidR="00000000" w:rsidRPr="00000000">
        <w:rPr>
          <w:sz w:val="24"/>
          <w:szCs w:val="24"/>
          <w:rtl w:val="0"/>
        </w:rPr>
        <w:t xml:space="preserve">The contractor is responsible for providing the following services: </w:t>
      </w:r>
      <w:r w:rsidDel="00000000" w:rsidR="00000000" w:rsidRPr="00000000">
        <w:rPr>
          <w:rtl w:val="0"/>
        </w:rPr>
      </w:r>
    </w:p>
    <w:p w:rsidR="00000000" w:rsidDel="00000000" w:rsidP="00000000" w:rsidRDefault="00000000" w:rsidRPr="00000000" w14:paraId="000000D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8789"/>
        </w:tabs>
        <w:spacing w:after="0" w:before="240" w:line="276" w:lineRule="auto"/>
        <w:ind w:left="720"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Development of a concept on the institutional, governance, and management structures for the Three Alazani Rivers Biosphere Reserve (BR):</w:t>
      </w:r>
    </w:p>
    <w:p w:rsidR="00000000" w:rsidDel="00000000" w:rsidP="00000000" w:rsidRDefault="00000000" w:rsidRPr="00000000" w14:paraId="000000D1">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tabs>
          <w:tab w:val="left" w:leader="none" w:pos="8789"/>
        </w:tabs>
        <w:spacing w:after="0" w:before="0" w:line="276" w:lineRule="auto"/>
        <w:ind w:left="144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Conducting legal research and analysis: reviewing the existing national legislation and relevant documents to elaborate on the concept of the institutional, governance, and management structure for the Three Alazani Rivers BR, including determining supervision rights.</w:t>
      </w:r>
    </w:p>
    <w:p w:rsidR="00000000" w:rsidDel="00000000" w:rsidP="00000000" w:rsidRDefault="00000000" w:rsidRPr="00000000" w14:paraId="000000D2">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tabs>
          <w:tab w:val="left" w:leader="none" w:pos="8789"/>
        </w:tabs>
        <w:spacing w:after="0" w:before="0" w:line="276" w:lineRule="auto"/>
        <w:ind w:left="144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Analyzing legal framework for financing mechanisms, with a particular focus on state and donor financing opportunities, to support the implementation of actions aimed at achieving the goals of the biosphere reserve.</w:t>
      </w:r>
    </w:p>
    <w:p w:rsidR="00000000" w:rsidDel="00000000" w:rsidP="00000000" w:rsidRDefault="00000000" w:rsidRPr="00000000" w14:paraId="000000D3">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tabs>
          <w:tab w:val="left" w:leader="none" w:pos="8789"/>
        </w:tabs>
        <w:spacing w:after="0" w:before="0" w:line="276" w:lineRule="auto"/>
        <w:ind w:left="144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Developing legal argumentation for the agreed model, describing its pros and cons.</w:t>
      </w:r>
    </w:p>
    <w:p w:rsidR="00000000" w:rsidDel="00000000" w:rsidP="00000000" w:rsidRDefault="00000000" w:rsidRPr="00000000" w14:paraId="000000D4">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tabs>
          <w:tab w:val="left" w:leader="none" w:pos="8789"/>
        </w:tabs>
        <w:spacing w:after="0" w:before="0" w:line="276" w:lineRule="auto"/>
        <w:ind w:left="144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Detailed descriptions of functions and responsibilities of each Governance unit of the BR (Steering committee, Advisory Body, Administration Unit)</w:t>
      </w:r>
    </w:p>
    <w:p w:rsidR="00000000" w:rsidDel="00000000" w:rsidP="00000000" w:rsidRDefault="00000000" w:rsidRPr="00000000" w14:paraId="000000D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8789"/>
        </w:tabs>
        <w:spacing w:after="0" w:before="0" w:line="276" w:lineRule="auto"/>
        <w:ind w:left="720"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Development of packages of changes to be implemented in the statutes of the institutions presented in the Three Alazani Rivers BR governing and management structures:</w:t>
      </w:r>
    </w:p>
    <w:p w:rsidR="00000000" w:rsidDel="00000000" w:rsidP="00000000" w:rsidRDefault="00000000" w:rsidRPr="00000000" w14:paraId="000000D6">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tabs>
          <w:tab w:val="left" w:leader="none" w:pos="8789"/>
        </w:tabs>
        <w:spacing w:after="0" w:before="0" w:line="276" w:lineRule="auto"/>
        <w:ind w:left="1440"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Providing an updated list of all organizations [and individuals] to be represented on governing, management, and advisory bodies.</w:t>
      </w:r>
      <w:r w:rsidDel="00000000" w:rsidR="00000000" w:rsidRPr="00000000">
        <w:rPr>
          <w:rtl w:val="0"/>
        </w:rPr>
      </w:r>
    </w:p>
    <w:p w:rsidR="00000000" w:rsidDel="00000000" w:rsidP="00000000" w:rsidRDefault="00000000" w:rsidRPr="00000000" w14:paraId="000000D7">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tabs>
          <w:tab w:val="left" w:leader="none" w:pos="8789"/>
        </w:tabs>
        <w:spacing w:after="0" w:before="0" w:line="276" w:lineRule="auto"/>
        <w:ind w:left="1440"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Defining the functions, responsibilities and obligations of relevant organizations [and individuals] to be represented on governing, management, and advisory bodies according to the BR goals.</w:t>
      </w:r>
      <w:r w:rsidDel="00000000" w:rsidR="00000000" w:rsidRPr="00000000">
        <w:rPr>
          <w:rtl w:val="0"/>
        </w:rPr>
      </w:r>
    </w:p>
    <w:p w:rsidR="00000000" w:rsidDel="00000000" w:rsidP="00000000" w:rsidRDefault="00000000" w:rsidRPr="00000000" w14:paraId="000000D8">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tabs>
          <w:tab w:val="left" w:leader="none" w:pos="8789"/>
        </w:tabs>
        <w:spacing w:after="0" w:before="0" w:line="276" w:lineRule="auto"/>
        <w:ind w:left="1440"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Conducting an analysis of various institutions, with a focus on but not limited to Akhmeta (including the Administration of the Tusheti Protected Landscape) and Telavi municipalities, the Agency of Protected Areas, the National Forestry Agency, and MEPA. This analysis aims to identify opportunities for integrating biosphere reserve management approaches and goals into their organizational structures.</w:t>
      </w:r>
      <w:r w:rsidDel="00000000" w:rsidR="00000000" w:rsidRPr="00000000">
        <w:rPr>
          <w:rtl w:val="0"/>
        </w:rPr>
      </w:r>
    </w:p>
    <w:p w:rsidR="00000000" w:rsidDel="00000000" w:rsidP="00000000" w:rsidRDefault="00000000" w:rsidRPr="00000000" w14:paraId="000000D9">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tabs>
          <w:tab w:val="left" w:leader="none" w:pos="8789"/>
        </w:tabs>
        <w:spacing w:after="0" w:before="0" w:line="276" w:lineRule="auto"/>
        <w:ind w:left="1440"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Developing a comprehensive package of changes to be implemented in their statutes, aligning them with the objectives and targets of the biosphere reserve.</w:t>
      </w:r>
      <w:r w:rsidDel="00000000" w:rsidR="00000000" w:rsidRPr="00000000">
        <w:rPr>
          <w:rtl w:val="0"/>
        </w:rPr>
      </w:r>
    </w:p>
    <w:p w:rsidR="00000000" w:rsidDel="00000000" w:rsidP="00000000" w:rsidRDefault="00000000" w:rsidRPr="00000000" w14:paraId="000000D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8789"/>
        </w:tabs>
        <w:spacing w:after="0" w:before="0" w:line="276" w:lineRule="auto"/>
        <w:ind w:left="720"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Facilitating 3 stakeholder meetings on BR institutional, governance, and management structures:</w:t>
      </w:r>
    </w:p>
    <w:p w:rsidR="00000000" w:rsidDel="00000000" w:rsidP="00000000" w:rsidRDefault="00000000" w:rsidRPr="00000000" w14:paraId="000000DB">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tabs>
          <w:tab w:val="left" w:leader="none" w:pos="8789"/>
        </w:tabs>
        <w:spacing w:after="0" w:before="0" w:line="276" w:lineRule="auto"/>
        <w:ind w:left="1440"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Facilitating</w:t>
      </w:r>
      <w:r w:rsidDel="00000000" w:rsidR="00000000" w:rsidRPr="00000000">
        <w:rPr>
          <w:sz w:val="24"/>
          <w:szCs w:val="24"/>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at least 3 stakeholder meetings (online or in person) with MEPA, Akhmeta, and Telavi Municipal Administrations on the formal creation of the BR governing body to define: (a) legal form, (b) founder(s), and (c) structure of the governing body's charter.</w:t>
      </w:r>
      <w:r w:rsidDel="00000000" w:rsidR="00000000" w:rsidRPr="00000000">
        <w:rPr>
          <w:rtl w:val="0"/>
        </w:rPr>
      </w:r>
    </w:p>
    <w:p w:rsidR="00000000" w:rsidDel="00000000" w:rsidP="00000000" w:rsidRDefault="00000000" w:rsidRPr="00000000" w14:paraId="000000DC">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tabs>
          <w:tab w:val="left" w:leader="none" w:pos="8789"/>
        </w:tabs>
        <w:spacing w:after="0" w:before="0" w:line="276" w:lineRule="auto"/>
        <w:ind w:left="1440"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Providing content for stakeholder meetings (online or in person), including agendas, signed lists of participants, minutes of meetings, photos, materials, etc.</w:t>
      </w:r>
      <w:r w:rsidDel="00000000" w:rsidR="00000000" w:rsidRPr="00000000">
        <w:rPr>
          <w:rtl w:val="0"/>
        </w:rPr>
      </w:r>
    </w:p>
    <w:p w:rsidR="00000000" w:rsidDel="00000000" w:rsidP="00000000" w:rsidRDefault="00000000" w:rsidRPr="00000000" w14:paraId="000000D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8789"/>
        </w:tabs>
        <w:spacing w:after="0" w:before="0" w:line="276" w:lineRule="auto"/>
        <w:ind w:left="720"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Supporting the elaboration of formation documents for the legal establishment of the Three Alazani Rivers Biosphere Reserve governing body with gender consideration:</w:t>
      </w:r>
    </w:p>
    <w:p w:rsidR="00000000" w:rsidDel="00000000" w:rsidP="00000000" w:rsidRDefault="00000000" w:rsidRPr="00000000" w14:paraId="000000DE">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tabs>
          <w:tab w:val="left" w:leader="none" w:pos="8789"/>
        </w:tabs>
        <w:spacing w:after="0" w:before="0" w:line="276" w:lineRule="auto"/>
        <w:ind w:left="1440"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Drafting the BR governing body charter based on outcomes of consultations and legislation analysis.</w:t>
      </w:r>
      <w:r w:rsidDel="00000000" w:rsidR="00000000" w:rsidRPr="00000000">
        <w:rPr>
          <w:rtl w:val="0"/>
        </w:rPr>
      </w:r>
    </w:p>
    <w:p w:rsidR="00000000" w:rsidDel="00000000" w:rsidP="00000000" w:rsidRDefault="00000000" w:rsidRPr="00000000" w14:paraId="000000DF">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tabs>
          <w:tab w:val="left" w:leader="none" w:pos="8789"/>
        </w:tabs>
        <w:spacing w:after="0" w:before="0" w:line="276" w:lineRule="auto"/>
        <w:ind w:left="1440"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Supporting the establishment of the gender-responsive advisory body for the BR.</w:t>
      </w:r>
      <w:r w:rsidDel="00000000" w:rsidR="00000000" w:rsidRPr="00000000">
        <w:rPr>
          <w:rtl w:val="0"/>
        </w:rPr>
      </w:r>
    </w:p>
    <w:p w:rsidR="00000000" w:rsidDel="00000000" w:rsidP="00000000" w:rsidRDefault="00000000" w:rsidRPr="00000000" w14:paraId="000000E0">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tabs>
          <w:tab w:val="left" w:leader="none" w:pos="8789"/>
        </w:tabs>
        <w:spacing w:after="240" w:before="0" w:line="276" w:lineRule="auto"/>
        <w:ind w:left="1440"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Development of staff job descriptions of the BR management.</w:t>
      </w:r>
      <w:r w:rsidDel="00000000" w:rsidR="00000000" w:rsidRPr="00000000">
        <w:rPr>
          <w:rtl w:val="0"/>
        </w:rPr>
      </w:r>
    </w:p>
    <w:p w:rsidR="00000000" w:rsidDel="00000000" w:rsidP="00000000" w:rsidRDefault="00000000" w:rsidRPr="00000000" w14:paraId="000000E1">
      <w:pPr>
        <w:tabs>
          <w:tab w:val="left" w:leader="none" w:pos="8789"/>
        </w:tabs>
        <w:spacing w:line="276" w:lineRule="auto"/>
        <w:jc w:val="both"/>
        <w:rPr>
          <w:b w:val="1"/>
          <w:sz w:val="24"/>
          <w:szCs w:val="24"/>
        </w:rPr>
      </w:pPr>
      <w:r w:rsidDel="00000000" w:rsidR="00000000" w:rsidRPr="00000000">
        <w:rPr>
          <w:b w:val="1"/>
          <w:sz w:val="24"/>
          <w:szCs w:val="24"/>
          <w:rtl w:val="0"/>
        </w:rPr>
        <w:t xml:space="preserve">Documents that should be analyzed include, but are not limited to:</w:t>
      </w:r>
    </w:p>
    <w:p w:rsidR="00000000" w:rsidDel="00000000" w:rsidP="00000000" w:rsidRDefault="00000000" w:rsidRPr="00000000" w14:paraId="000000E2">
      <w:pPr>
        <w:tabs>
          <w:tab w:val="left" w:leader="none" w:pos="8789"/>
        </w:tabs>
        <w:spacing w:after="0" w:line="276" w:lineRule="auto"/>
        <w:jc w:val="both"/>
        <w:rPr>
          <w:b w:val="1"/>
          <w:sz w:val="24"/>
          <w:szCs w:val="24"/>
        </w:rPr>
      </w:pPr>
      <w:r w:rsidDel="00000000" w:rsidR="00000000" w:rsidRPr="00000000">
        <w:rPr>
          <w:b w:val="1"/>
          <w:sz w:val="24"/>
          <w:szCs w:val="24"/>
          <w:rtl w:val="0"/>
        </w:rPr>
        <w:t xml:space="preserve">Legislation:</w:t>
      </w:r>
    </w:p>
    <w:p w:rsidR="00000000" w:rsidDel="00000000" w:rsidP="00000000" w:rsidRDefault="00000000" w:rsidRPr="00000000" w14:paraId="000000E3">
      <w:pPr>
        <w:tabs>
          <w:tab w:val="left" w:leader="none" w:pos="8789"/>
        </w:tabs>
        <w:spacing w:after="0" w:before="0" w:line="276" w:lineRule="auto"/>
        <w:jc w:val="both"/>
        <w:rPr>
          <w:sz w:val="24"/>
          <w:szCs w:val="24"/>
        </w:rPr>
      </w:pPr>
      <w:r w:rsidDel="00000000" w:rsidR="00000000" w:rsidRPr="00000000">
        <w:rPr>
          <w:sz w:val="24"/>
          <w:szCs w:val="24"/>
          <w:rtl w:val="0"/>
        </w:rPr>
        <w:t xml:space="preserve">- Local Self-Government Code of Georgia</w:t>
      </w:r>
    </w:p>
    <w:p w:rsidR="00000000" w:rsidDel="00000000" w:rsidP="00000000" w:rsidRDefault="00000000" w:rsidRPr="00000000" w14:paraId="000000E4">
      <w:pPr>
        <w:tabs>
          <w:tab w:val="left" w:leader="none" w:pos="8789"/>
        </w:tabs>
        <w:spacing w:after="0" w:before="0" w:line="276" w:lineRule="auto"/>
        <w:jc w:val="both"/>
        <w:rPr>
          <w:sz w:val="24"/>
          <w:szCs w:val="24"/>
        </w:rPr>
      </w:pPr>
      <w:r w:rsidDel="00000000" w:rsidR="00000000" w:rsidRPr="00000000">
        <w:rPr>
          <w:sz w:val="24"/>
          <w:szCs w:val="24"/>
          <w:rtl w:val="0"/>
        </w:rPr>
        <w:t xml:space="preserve">- Law on Protected Areas</w:t>
      </w:r>
    </w:p>
    <w:p w:rsidR="00000000" w:rsidDel="00000000" w:rsidP="00000000" w:rsidRDefault="00000000" w:rsidRPr="00000000" w14:paraId="000000E5">
      <w:pPr>
        <w:tabs>
          <w:tab w:val="left" w:leader="none" w:pos="8789"/>
        </w:tabs>
        <w:spacing w:after="0" w:before="0" w:line="276" w:lineRule="auto"/>
        <w:jc w:val="both"/>
        <w:rPr>
          <w:sz w:val="24"/>
          <w:szCs w:val="24"/>
        </w:rPr>
      </w:pPr>
      <w:r w:rsidDel="00000000" w:rsidR="00000000" w:rsidRPr="00000000">
        <w:rPr>
          <w:sz w:val="24"/>
          <w:szCs w:val="24"/>
          <w:rtl w:val="0"/>
        </w:rPr>
        <w:t xml:space="preserve">- Draft Biodiversity Law</w:t>
      </w:r>
    </w:p>
    <w:p w:rsidR="00000000" w:rsidDel="00000000" w:rsidP="00000000" w:rsidRDefault="00000000" w:rsidRPr="00000000" w14:paraId="000000E6">
      <w:pPr>
        <w:tabs>
          <w:tab w:val="left" w:leader="none" w:pos="8789"/>
        </w:tabs>
        <w:spacing w:after="0" w:before="0" w:line="276" w:lineRule="auto"/>
        <w:jc w:val="both"/>
        <w:rPr>
          <w:sz w:val="24"/>
          <w:szCs w:val="24"/>
        </w:rPr>
      </w:pPr>
      <w:r w:rsidDel="00000000" w:rsidR="00000000" w:rsidRPr="00000000">
        <w:rPr>
          <w:sz w:val="24"/>
          <w:szCs w:val="24"/>
          <w:rtl w:val="0"/>
        </w:rPr>
        <w:t xml:space="preserve">- Statute of the Ministry of Environmental Protection and Agriculture of Georgia</w:t>
      </w:r>
    </w:p>
    <w:p w:rsidR="00000000" w:rsidDel="00000000" w:rsidP="00000000" w:rsidRDefault="00000000" w:rsidRPr="00000000" w14:paraId="000000E7">
      <w:pPr>
        <w:tabs>
          <w:tab w:val="left" w:leader="none" w:pos="8789"/>
        </w:tabs>
        <w:spacing w:after="0" w:before="0" w:line="276" w:lineRule="auto"/>
        <w:jc w:val="both"/>
        <w:rPr>
          <w:sz w:val="24"/>
          <w:szCs w:val="24"/>
        </w:rPr>
      </w:pPr>
      <w:r w:rsidDel="00000000" w:rsidR="00000000" w:rsidRPr="00000000">
        <w:rPr>
          <w:sz w:val="24"/>
          <w:szCs w:val="24"/>
          <w:rtl w:val="0"/>
        </w:rPr>
        <w:t xml:space="preserve">- Statute of the Akhmet Municipality City Hall</w:t>
      </w:r>
    </w:p>
    <w:p w:rsidR="00000000" w:rsidDel="00000000" w:rsidP="00000000" w:rsidRDefault="00000000" w:rsidRPr="00000000" w14:paraId="000000E8">
      <w:pPr>
        <w:tabs>
          <w:tab w:val="left" w:leader="none" w:pos="8789"/>
        </w:tabs>
        <w:spacing w:after="0" w:before="0" w:line="276" w:lineRule="auto"/>
        <w:jc w:val="both"/>
        <w:rPr>
          <w:sz w:val="24"/>
          <w:szCs w:val="24"/>
        </w:rPr>
      </w:pPr>
      <w:r w:rsidDel="00000000" w:rsidR="00000000" w:rsidRPr="00000000">
        <w:rPr>
          <w:sz w:val="24"/>
          <w:szCs w:val="24"/>
          <w:rtl w:val="0"/>
        </w:rPr>
        <w:t xml:space="preserve">- Statute of the Tusheti Protected Landscape Administration</w:t>
      </w:r>
    </w:p>
    <w:p w:rsidR="00000000" w:rsidDel="00000000" w:rsidP="00000000" w:rsidRDefault="00000000" w:rsidRPr="00000000" w14:paraId="000000E9">
      <w:pPr>
        <w:tabs>
          <w:tab w:val="left" w:leader="none" w:pos="8789"/>
        </w:tabs>
        <w:spacing w:after="0" w:before="0" w:line="276" w:lineRule="auto"/>
        <w:jc w:val="both"/>
        <w:rPr>
          <w:sz w:val="24"/>
          <w:szCs w:val="24"/>
        </w:rPr>
      </w:pPr>
      <w:r w:rsidDel="00000000" w:rsidR="00000000" w:rsidRPr="00000000">
        <w:rPr>
          <w:sz w:val="24"/>
          <w:szCs w:val="24"/>
          <w:rtl w:val="0"/>
        </w:rPr>
        <w:t xml:space="preserve">- Statute of the Telavi Municipality City Hall</w:t>
      </w:r>
    </w:p>
    <w:p w:rsidR="00000000" w:rsidDel="00000000" w:rsidP="00000000" w:rsidRDefault="00000000" w:rsidRPr="00000000" w14:paraId="000000EA">
      <w:pPr>
        <w:tabs>
          <w:tab w:val="left" w:leader="none" w:pos="8789"/>
        </w:tabs>
        <w:spacing w:after="0" w:before="0" w:line="276" w:lineRule="auto"/>
        <w:jc w:val="both"/>
        <w:rPr>
          <w:sz w:val="24"/>
          <w:szCs w:val="24"/>
        </w:rPr>
      </w:pPr>
      <w:r w:rsidDel="00000000" w:rsidR="00000000" w:rsidRPr="00000000">
        <w:rPr>
          <w:sz w:val="24"/>
          <w:szCs w:val="24"/>
          <w:rtl w:val="0"/>
        </w:rPr>
        <w:t xml:space="preserve">- Statute of the Agency of Protected Areas</w:t>
      </w:r>
    </w:p>
    <w:p w:rsidR="00000000" w:rsidDel="00000000" w:rsidP="00000000" w:rsidRDefault="00000000" w:rsidRPr="00000000" w14:paraId="000000EB">
      <w:pPr>
        <w:tabs>
          <w:tab w:val="left" w:leader="none" w:pos="8789"/>
        </w:tabs>
        <w:spacing w:after="0" w:before="0" w:line="276" w:lineRule="auto"/>
        <w:jc w:val="both"/>
        <w:rPr>
          <w:sz w:val="24"/>
          <w:szCs w:val="24"/>
        </w:rPr>
      </w:pPr>
      <w:r w:rsidDel="00000000" w:rsidR="00000000" w:rsidRPr="00000000">
        <w:rPr>
          <w:sz w:val="24"/>
          <w:szCs w:val="24"/>
          <w:rtl w:val="0"/>
        </w:rPr>
        <w:t xml:space="preserve">- Statute of the National Forestry Agency</w:t>
      </w:r>
    </w:p>
    <w:p w:rsidR="00000000" w:rsidDel="00000000" w:rsidP="00000000" w:rsidRDefault="00000000" w:rsidRPr="00000000" w14:paraId="000000EC">
      <w:pPr>
        <w:tabs>
          <w:tab w:val="left" w:leader="none" w:pos="8789"/>
        </w:tabs>
        <w:spacing w:after="0" w:line="276" w:lineRule="auto"/>
        <w:jc w:val="both"/>
        <w:rPr>
          <w:sz w:val="24"/>
          <w:szCs w:val="24"/>
        </w:rPr>
      </w:pPr>
      <w:r w:rsidDel="00000000" w:rsidR="00000000" w:rsidRPr="00000000">
        <w:rPr>
          <w:b w:val="1"/>
          <w:sz w:val="24"/>
          <w:szCs w:val="24"/>
          <w:rtl w:val="0"/>
        </w:rPr>
        <w:t xml:space="preserve">BR related documents:</w:t>
      </w:r>
      <w:r w:rsidDel="00000000" w:rsidR="00000000" w:rsidRPr="00000000">
        <w:rPr>
          <w:rtl w:val="0"/>
        </w:rPr>
      </w:r>
    </w:p>
    <w:p w:rsidR="00000000" w:rsidDel="00000000" w:rsidP="00000000" w:rsidRDefault="00000000" w:rsidRPr="00000000" w14:paraId="000000E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8789"/>
        </w:tabs>
        <w:spacing w:after="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2s8eyo1" w:id="9"/>
      <w:bookmarkEnd w:id="9"/>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Three Alazani Nomination package (including draft concept on governance structure, draft management plan of Three Alazani Rivers BR)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(Annex 1);</w:t>
      </w:r>
      <w:r w:rsidDel="00000000" w:rsidR="00000000" w:rsidRPr="00000000">
        <w:rPr>
          <w:rtl w:val="0"/>
        </w:rPr>
      </w:r>
    </w:p>
    <w:p w:rsidR="00000000" w:rsidDel="00000000" w:rsidP="00000000" w:rsidRDefault="00000000" w:rsidRPr="00000000" w14:paraId="000000E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8789"/>
        </w:tabs>
        <w:spacing w:after="0" w:before="0" w:line="276" w:lineRule="auto"/>
        <w:ind w:left="720" w:right="0" w:hanging="360"/>
        <w:jc w:val="both"/>
        <w:rPr>
          <w:rFonts w:ascii="Calibri" w:cs="Calibri" w:eastAsia="Calibri" w:hAnsi="Calibri"/>
          <w:b w:val="1"/>
          <w:i w:val="0"/>
          <w:smallCaps w:val="0"/>
          <w:strike w:val="0"/>
          <w:color w:val="000000"/>
          <w:sz w:val="24"/>
          <w:szCs w:val="24"/>
          <w:u w:val="none"/>
          <w:shd w:fill="auto" w:val="clear"/>
          <w:vertAlign w:val="baseline"/>
        </w:rPr>
      </w:pPr>
      <w:bookmarkStart w:colFirst="0" w:colLast="0" w:name="_heading=h.17dp8vu" w:id="10"/>
      <w:bookmarkEnd w:id="10"/>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Concept of </w:t>
      </w:r>
      <w:r w:rsidDel="00000000" w:rsidR="00000000" w:rsidRPr="00000000">
        <w:rPr>
          <w:sz w:val="24"/>
          <w:szCs w:val="24"/>
          <w:rtl w:val="0"/>
        </w:rPr>
        <w:t xml:space="preserve">the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management structure for Three Alazani Rivers Biosphere Reserve (2024).</w:t>
      </w:r>
      <w:r w:rsidDel="00000000" w:rsidR="00000000" w:rsidRPr="00000000">
        <w:rPr>
          <w:rtl w:val="0"/>
        </w:rPr>
      </w:r>
    </w:p>
    <w:p w:rsidR="00000000" w:rsidDel="00000000" w:rsidP="00000000" w:rsidRDefault="00000000" w:rsidRPr="00000000" w14:paraId="000000EF">
      <w:pPr>
        <w:jc w:val="both"/>
        <w:rPr>
          <w:i w:val="1"/>
          <w:sz w:val="24"/>
          <w:szCs w:val="24"/>
        </w:rPr>
      </w:pPr>
      <w:r w:rsidDel="00000000" w:rsidR="00000000" w:rsidRPr="00000000">
        <w:rPr>
          <w:b w:val="1"/>
          <w:i w:val="1"/>
          <w:sz w:val="24"/>
          <w:szCs w:val="24"/>
          <w:rtl w:val="0"/>
        </w:rPr>
        <w:t xml:space="preserve">[Note:</w:t>
      </w:r>
      <w:r w:rsidDel="00000000" w:rsidR="00000000" w:rsidRPr="00000000">
        <w:rPr>
          <w:i w:val="1"/>
          <w:sz w:val="24"/>
          <w:szCs w:val="24"/>
          <w:rtl w:val="0"/>
        </w:rPr>
        <w:t xml:space="preserve"> Institutional, governance and management structures are distinct but interconnected components of organizational frameworks, each serving specific purposes within an entity like a conservation initiative such as a biosphere reserve:</w:t>
      </w:r>
    </w:p>
    <w:p w:rsidR="00000000" w:rsidDel="00000000" w:rsidP="00000000" w:rsidRDefault="00000000" w:rsidRPr="00000000" w14:paraId="000000F0">
      <w:pPr>
        <w:jc w:val="both"/>
        <w:rPr>
          <w:i w:val="1"/>
          <w:sz w:val="24"/>
          <w:szCs w:val="24"/>
        </w:rPr>
      </w:pPr>
      <w:r w:rsidDel="00000000" w:rsidR="00000000" w:rsidRPr="00000000">
        <w:rPr>
          <w:i w:val="1"/>
          <w:sz w:val="24"/>
          <w:szCs w:val="24"/>
          <w:rtl w:val="0"/>
        </w:rPr>
        <w:t xml:space="preserve">Institutional Structure</w:t>
      </w:r>
    </w:p>
    <w:p w:rsidR="00000000" w:rsidDel="00000000" w:rsidP="00000000" w:rsidRDefault="00000000" w:rsidRPr="00000000" w14:paraId="000000F1">
      <w:pPr>
        <w:jc w:val="both"/>
        <w:rPr>
          <w:i w:val="1"/>
          <w:sz w:val="24"/>
          <w:szCs w:val="24"/>
        </w:rPr>
      </w:pPr>
      <w:r w:rsidDel="00000000" w:rsidR="00000000" w:rsidRPr="00000000">
        <w:rPr>
          <w:i w:val="1"/>
          <w:sz w:val="24"/>
          <w:szCs w:val="24"/>
          <w:rtl w:val="0"/>
        </w:rPr>
        <w:t xml:space="preserve">Definition: The institutional structure refers to the overall framework and arrangement of institutions, organizations, and stakeholders involved in a biosphere reserve. It encompasses the relationships, roles, responsibilities, and interactions among these entities.</w:t>
      </w:r>
    </w:p>
    <w:p w:rsidR="00000000" w:rsidDel="00000000" w:rsidP="00000000" w:rsidRDefault="00000000" w:rsidRPr="00000000" w14:paraId="000000F2">
      <w:pPr>
        <w:jc w:val="both"/>
        <w:rPr>
          <w:i w:val="1"/>
          <w:sz w:val="24"/>
          <w:szCs w:val="24"/>
        </w:rPr>
      </w:pPr>
      <w:r w:rsidDel="00000000" w:rsidR="00000000" w:rsidRPr="00000000">
        <w:rPr>
          <w:i w:val="1"/>
          <w:sz w:val="24"/>
          <w:szCs w:val="24"/>
          <w:rtl w:val="0"/>
        </w:rPr>
        <w:t xml:space="preserve">Purpose: Institutional structure provides the foundation for governance and management by defining the entities involved and their respective roles. They establish the organizational framework within which decision-making and management activities take place.</w:t>
      </w:r>
    </w:p>
    <w:p w:rsidR="00000000" w:rsidDel="00000000" w:rsidP="00000000" w:rsidRDefault="00000000" w:rsidRPr="00000000" w14:paraId="000000F3">
      <w:pPr>
        <w:jc w:val="both"/>
        <w:rPr>
          <w:i w:val="1"/>
          <w:sz w:val="24"/>
          <w:szCs w:val="24"/>
        </w:rPr>
      </w:pPr>
      <w:r w:rsidDel="00000000" w:rsidR="00000000" w:rsidRPr="00000000">
        <w:rPr>
          <w:i w:val="1"/>
          <w:sz w:val="24"/>
          <w:szCs w:val="24"/>
          <w:rtl w:val="0"/>
        </w:rPr>
        <w:t xml:space="preserve">Governance Structure</w:t>
      </w:r>
    </w:p>
    <w:p w:rsidR="00000000" w:rsidDel="00000000" w:rsidP="00000000" w:rsidRDefault="00000000" w:rsidRPr="00000000" w14:paraId="000000F4">
      <w:pPr>
        <w:jc w:val="both"/>
        <w:rPr>
          <w:i w:val="1"/>
          <w:sz w:val="24"/>
          <w:szCs w:val="24"/>
        </w:rPr>
      </w:pPr>
      <w:r w:rsidDel="00000000" w:rsidR="00000000" w:rsidRPr="00000000">
        <w:rPr>
          <w:i w:val="1"/>
          <w:sz w:val="24"/>
          <w:szCs w:val="24"/>
          <w:rtl w:val="0"/>
        </w:rPr>
        <w:t xml:space="preserve">Definition: Governance structure specifically refers to the mechanisms and systems in place for making decisions, setting policies, and overseeing the operations of the BR.</w:t>
      </w:r>
    </w:p>
    <w:p w:rsidR="00000000" w:rsidDel="00000000" w:rsidP="00000000" w:rsidRDefault="00000000" w:rsidRPr="00000000" w14:paraId="000000F5">
      <w:pPr>
        <w:jc w:val="both"/>
        <w:rPr>
          <w:i w:val="1"/>
          <w:sz w:val="24"/>
          <w:szCs w:val="24"/>
        </w:rPr>
      </w:pPr>
      <w:r w:rsidDel="00000000" w:rsidR="00000000" w:rsidRPr="00000000">
        <w:rPr>
          <w:i w:val="1"/>
          <w:sz w:val="24"/>
          <w:szCs w:val="24"/>
          <w:rtl w:val="0"/>
        </w:rPr>
        <w:t xml:space="preserve">Purpose: Governance structure defines the rules, processes, and authorities governing decision-making and accountability within BR. They establish how power and authority are distributed, how decisions are made, and how stakeholders are represented.</w:t>
      </w:r>
    </w:p>
    <w:p w:rsidR="00000000" w:rsidDel="00000000" w:rsidP="00000000" w:rsidRDefault="00000000" w:rsidRPr="00000000" w14:paraId="000000F6">
      <w:pPr>
        <w:jc w:val="both"/>
        <w:rPr>
          <w:i w:val="1"/>
          <w:sz w:val="24"/>
          <w:szCs w:val="24"/>
        </w:rPr>
      </w:pPr>
      <w:r w:rsidDel="00000000" w:rsidR="00000000" w:rsidRPr="00000000">
        <w:rPr>
          <w:i w:val="1"/>
          <w:sz w:val="24"/>
          <w:szCs w:val="24"/>
          <w:rtl w:val="0"/>
        </w:rPr>
        <w:t xml:space="preserve">Management Structure</w:t>
      </w:r>
    </w:p>
    <w:p w:rsidR="00000000" w:rsidDel="00000000" w:rsidP="00000000" w:rsidRDefault="00000000" w:rsidRPr="00000000" w14:paraId="000000F7">
      <w:pPr>
        <w:jc w:val="both"/>
        <w:rPr>
          <w:i w:val="1"/>
          <w:sz w:val="24"/>
          <w:szCs w:val="24"/>
        </w:rPr>
      </w:pPr>
      <w:r w:rsidDel="00000000" w:rsidR="00000000" w:rsidRPr="00000000">
        <w:rPr>
          <w:i w:val="1"/>
          <w:sz w:val="24"/>
          <w:szCs w:val="24"/>
          <w:rtl w:val="0"/>
        </w:rPr>
        <w:t xml:space="preserve">Definition: Management structure refers to the arrangement of roles, responsibilities, and reporting relationships within the BR responsible for carrying out specific tasks and functions.</w:t>
      </w:r>
    </w:p>
    <w:p w:rsidR="00000000" w:rsidDel="00000000" w:rsidP="00000000" w:rsidRDefault="00000000" w:rsidRPr="00000000" w14:paraId="000000F8">
      <w:pPr>
        <w:jc w:val="both"/>
        <w:rPr>
          <w:i w:val="1"/>
          <w:sz w:val="24"/>
          <w:szCs w:val="24"/>
        </w:rPr>
      </w:pPr>
      <w:r w:rsidDel="00000000" w:rsidR="00000000" w:rsidRPr="00000000">
        <w:rPr>
          <w:i w:val="1"/>
          <w:sz w:val="24"/>
          <w:szCs w:val="24"/>
          <w:rtl w:val="0"/>
        </w:rPr>
        <w:t xml:space="preserve">Purpose: Management structures are concerned with the operational aspects of a BR, including planning, organizing, directing, and controlling activities to achieve its objectives. They determine how resources are allocated, tasks are assigned, and progress is monitored and evaluated.</w:t>
      </w:r>
    </w:p>
    <w:p w:rsidR="00000000" w:rsidDel="00000000" w:rsidP="00000000" w:rsidRDefault="00000000" w:rsidRPr="00000000" w14:paraId="000000F9">
      <w:pPr>
        <w:jc w:val="both"/>
        <w:rPr>
          <w:i w:val="1"/>
          <w:sz w:val="24"/>
          <w:szCs w:val="24"/>
        </w:rPr>
      </w:pPr>
      <w:r w:rsidDel="00000000" w:rsidR="00000000" w:rsidRPr="00000000">
        <w:rPr>
          <w:i w:val="1"/>
          <w:sz w:val="24"/>
          <w:szCs w:val="24"/>
          <w:rtl w:val="0"/>
        </w:rPr>
        <w:t xml:space="preserve">In summary, while institutional structure defines the overarching framework and relationships among entities, governance structure focuses on decision-making mechanisms and accountability, and management structure deals with operational aspects and task execution. Together, these structures provide the framework for effective coordination and functioning of BR.]</w:t>
      </w:r>
    </w:p>
    <w:p w:rsidR="00000000" w:rsidDel="00000000" w:rsidP="00000000" w:rsidRDefault="00000000" w:rsidRPr="00000000" w14:paraId="000000FA">
      <w:pPr>
        <w:pStyle w:val="Heading1"/>
        <w:numPr>
          <w:ilvl w:val="0"/>
          <w:numId w:val="11"/>
        </w:numPr>
        <w:spacing w:line="276" w:lineRule="auto"/>
        <w:ind w:left="720" w:hanging="360"/>
        <w:rPr>
          <w:sz w:val="24"/>
          <w:szCs w:val="24"/>
        </w:rPr>
      </w:pPr>
      <w:bookmarkStart w:colFirst="0" w:colLast="0" w:name="_heading=h.3rdcrjn" w:id="11"/>
      <w:bookmarkEnd w:id="11"/>
      <w:r w:rsidDel="00000000" w:rsidR="00000000" w:rsidRPr="00000000">
        <w:rPr>
          <w:sz w:val="24"/>
          <w:szCs w:val="24"/>
          <w:rtl w:val="0"/>
        </w:rPr>
        <w:t xml:space="preserve">Duration</w:t>
      </w:r>
    </w:p>
    <w:p w:rsidR="00000000" w:rsidDel="00000000" w:rsidP="00000000" w:rsidRDefault="00000000" w:rsidRPr="00000000" w14:paraId="000000FB">
      <w:pPr>
        <w:spacing w:line="276" w:lineRule="auto"/>
        <w:jc w:val="both"/>
        <w:rPr>
          <w:sz w:val="24"/>
          <w:szCs w:val="24"/>
        </w:rPr>
      </w:pPr>
      <w:r w:rsidDel="00000000" w:rsidR="00000000" w:rsidRPr="00000000">
        <w:rPr>
          <w:sz w:val="24"/>
          <w:szCs w:val="24"/>
          <w:rtl w:val="0"/>
        </w:rPr>
        <w:t xml:space="preserve">The engagement of the legal advisor shall commence on the </w:t>
      </w:r>
      <w:r w:rsidDel="00000000" w:rsidR="00000000" w:rsidRPr="00000000">
        <w:rPr>
          <w:b w:val="1"/>
          <w:sz w:val="24"/>
          <w:szCs w:val="24"/>
          <w:rtl w:val="0"/>
        </w:rPr>
        <w:t xml:space="preserve">5th</w:t>
      </w:r>
      <w:r w:rsidDel="00000000" w:rsidR="00000000" w:rsidRPr="00000000">
        <w:rPr>
          <w:b w:val="1"/>
          <w:sz w:val="24"/>
          <w:szCs w:val="24"/>
          <w:rtl w:val="0"/>
        </w:rPr>
        <w:t xml:space="preserve"> of April,</w:t>
      </w:r>
      <w:r w:rsidDel="00000000" w:rsidR="00000000" w:rsidRPr="00000000">
        <w:rPr>
          <w:sz w:val="24"/>
          <w:szCs w:val="24"/>
          <w:rtl w:val="0"/>
        </w:rPr>
        <w:t xml:space="preserve"> </w:t>
      </w:r>
      <w:r w:rsidDel="00000000" w:rsidR="00000000" w:rsidRPr="00000000">
        <w:rPr>
          <w:b w:val="1"/>
          <w:sz w:val="24"/>
          <w:szCs w:val="24"/>
          <w:rtl w:val="0"/>
        </w:rPr>
        <w:t xml:space="preserve">2024,</w:t>
      </w:r>
      <w:r w:rsidDel="00000000" w:rsidR="00000000" w:rsidRPr="00000000">
        <w:rPr>
          <w:sz w:val="24"/>
          <w:szCs w:val="24"/>
          <w:rtl w:val="0"/>
        </w:rPr>
        <w:t xml:space="preserve"> and continue until the </w:t>
      </w:r>
      <w:r w:rsidDel="00000000" w:rsidR="00000000" w:rsidRPr="00000000">
        <w:rPr>
          <w:b w:val="1"/>
          <w:sz w:val="24"/>
          <w:szCs w:val="24"/>
          <w:rtl w:val="0"/>
        </w:rPr>
        <w:t xml:space="preserve">28</w:t>
      </w:r>
      <w:r w:rsidDel="00000000" w:rsidR="00000000" w:rsidRPr="00000000">
        <w:rPr>
          <w:b w:val="1"/>
          <w:sz w:val="24"/>
          <w:szCs w:val="24"/>
          <w:vertAlign w:val="superscript"/>
          <w:rtl w:val="0"/>
        </w:rPr>
        <w:t xml:space="preserve">th</w:t>
      </w:r>
      <w:r w:rsidDel="00000000" w:rsidR="00000000" w:rsidRPr="00000000">
        <w:rPr>
          <w:b w:val="1"/>
          <w:sz w:val="24"/>
          <w:szCs w:val="24"/>
          <w:rtl w:val="0"/>
        </w:rPr>
        <w:t xml:space="preserve"> of June, 2024</w:t>
      </w:r>
      <w:r w:rsidDel="00000000" w:rsidR="00000000" w:rsidRPr="00000000">
        <w:rPr>
          <w:sz w:val="24"/>
          <w:szCs w:val="24"/>
          <w:rtl w:val="0"/>
        </w:rPr>
        <w:t xml:space="preserve"> unless terminated earlier by either party in accordance with the provisions outlined in the agreement.</w:t>
      </w:r>
    </w:p>
    <w:p w:rsidR="00000000" w:rsidDel="00000000" w:rsidP="00000000" w:rsidRDefault="00000000" w:rsidRPr="00000000" w14:paraId="000000FC">
      <w:pPr>
        <w:pStyle w:val="Heading1"/>
        <w:numPr>
          <w:ilvl w:val="0"/>
          <w:numId w:val="11"/>
        </w:numPr>
        <w:spacing w:line="276" w:lineRule="auto"/>
        <w:ind w:left="720" w:hanging="360"/>
        <w:rPr>
          <w:sz w:val="24"/>
          <w:szCs w:val="24"/>
        </w:rPr>
      </w:pPr>
      <w:bookmarkStart w:colFirst="0" w:colLast="0" w:name="_heading=h.26in1rg" w:id="12"/>
      <w:bookmarkEnd w:id="12"/>
      <w:r w:rsidDel="00000000" w:rsidR="00000000" w:rsidRPr="00000000">
        <w:rPr>
          <w:sz w:val="24"/>
          <w:szCs w:val="24"/>
          <w:rtl w:val="0"/>
        </w:rPr>
        <w:t xml:space="preserve">Deliverables</w:t>
      </w:r>
    </w:p>
    <w:p w:rsidR="00000000" w:rsidDel="00000000" w:rsidP="00000000" w:rsidRDefault="00000000" w:rsidRPr="00000000" w14:paraId="000000FD">
      <w:pPr>
        <w:spacing w:after="0" w:before="0" w:line="276" w:lineRule="auto"/>
        <w:jc w:val="both"/>
        <w:rPr>
          <w:sz w:val="24"/>
          <w:szCs w:val="24"/>
        </w:rPr>
      </w:pPr>
      <w:r w:rsidDel="00000000" w:rsidR="00000000" w:rsidRPr="00000000">
        <w:rPr>
          <w:sz w:val="24"/>
          <w:szCs w:val="24"/>
          <w:rtl w:val="0"/>
        </w:rPr>
        <w:t xml:space="preserve">The legal advisor shall deliver the following:</w:t>
      </w:r>
    </w:p>
    <w:p w:rsidR="00000000" w:rsidDel="00000000" w:rsidP="00000000" w:rsidRDefault="00000000" w:rsidRPr="00000000" w14:paraId="000000F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8789"/>
        </w:tabs>
        <w:spacing w:after="0" w:afterAutospacing="0" w:before="240" w:line="276" w:lineRule="auto"/>
        <w:ind w:left="720" w:right="0" w:hanging="360"/>
        <w:jc w:val="both"/>
        <w:rPr>
          <w:sz w:val="24"/>
          <w:szCs w:val="24"/>
          <w:u w:val="none"/>
        </w:rPr>
      </w:pPr>
      <w:r w:rsidDel="00000000" w:rsidR="00000000" w:rsidRPr="00000000">
        <w:rPr>
          <w:b w:val="1"/>
          <w:sz w:val="24"/>
          <w:szCs w:val="24"/>
          <w:rtl w:val="0"/>
        </w:rPr>
        <w:t xml:space="preserve">Deliverable 1</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Concept on the institutional, governance, and management structures for the Three Alazani Rivers Biosphere Reserve (BR), incorporating analyses of financing mechanisms, with a particular emphasis on state and donor financing opportunities, and providing argumentation for the agreed model, detailing its advantages and disadvantages. </w:t>
      </w:r>
      <w:r w:rsidDel="00000000" w:rsidR="00000000" w:rsidRPr="00000000">
        <w:rPr>
          <w:sz w:val="24"/>
          <w:szCs w:val="24"/>
          <w:rtl w:val="0"/>
        </w:rPr>
        <w:t xml:space="preserve">The concept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also should include </w:t>
      </w:r>
      <w:r w:rsidDel="00000000" w:rsidR="00000000" w:rsidRPr="00000000">
        <w:rPr>
          <w:sz w:val="24"/>
          <w:szCs w:val="24"/>
          <w:rtl w:val="0"/>
        </w:rPr>
        <w:t xml:space="preserve">an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analysis of relevant institutions, with a focus on but not limited to Akhmeta (including the Administration of the Tusheti Protected Landscape) and Telavi municipalities, the Agency of Protected Areas, the National Forestry Agency, and MEPA to identify opportunities for integrating biosphere reserve management approaches and goals into their organizational structures.</w:t>
      </w:r>
      <w:r w:rsidDel="00000000" w:rsidR="00000000" w:rsidRPr="00000000">
        <w:rPr>
          <w:rtl w:val="0"/>
        </w:rPr>
      </w:r>
    </w:p>
    <w:p w:rsidR="00000000" w:rsidDel="00000000" w:rsidP="00000000" w:rsidRDefault="00000000" w:rsidRPr="00000000" w14:paraId="000000F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8789"/>
        </w:tabs>
        <w:spacing w:after="0" w:before="0" w:beforeAutospacing="0" w:line="276" w:lineRule="auto"/>
        <w:ind w:left="720" w:right="0" w:hanging="360"/>
        <w:jc w:val="both"/>
        <w:rPr>
          <w:sz w:val="24"/>
          <w:szCs w:val="24"/>
          <w:u w:val="no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Deliverable 2.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Packages of legal changes to be implemented in the statutes of the institutions presented in the Three Alazani Rivers BR governing and management structures.</w:t>
      </w:r>
    </w:p>
    <w:p w:rsidR="00000000" w:rsidDel="00000000" w:rsidP="00000000" w:rsidRDefault="00000000" w:rsidRPr="00000000" w14:paraId="0000010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8789"/>
        </w:tabs>
        <w:spacing w:after="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Deliverable 3.</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Facilitation at</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least 3 stakeholder meetings on BR institutional, governance, and management structures are conducted. Provision of comprehensive content for stakeholder meetings, whether conducted online or in person, including agendas, signed lists of participants (in case of in-person meetings), minutes of meetings, photos, materials, and any other relevant documentation necessary for the effective conduct and documentation of the meetings.</w:t>
      </w:r>
    </w:p>
    <w:p w:rsidR="00000000" w:rsidDel="00000000" w:rsidP="00000000" w:rsidRDefault="00000000" w:rsidRPr="00000000" w14:paraId="0000010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8789"/>
        </w:tabs>
        <w:spacing w:after="24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Deliverable 4.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Formation documents for the legal registration and establishment of the Three Alazani Rivers Biosphere Reserve governing body as a legal entity with gender consideration. Including relevant documents for the establishment of the gender-responsive advisory body of the BR.</w:t>
      </w:r>
    </w:p>
    <w:p w:rsidR="00000000" w:rsidDel="00000000" w:rsidP="00000000" w:rsidRDefault="00000000" w:rsidRPr="00000000" w14:paraId="00000102">
      <w:pPr>
        <w:spacing w:before="0" w:line="276" w:lineRule="auto"/>
        <w:jc w:val="both"/>
        <w:rPr>
          <w:sz w:val="24"/>
          <w:szCs w:val="24"/>
        </w:rPr>
      </w:pPr>
      <w:r w:rsidDel="00000000" w:rsidR="00000000" w:rsidRPr="00000000">
        <w:rPr>
          <w:b w:val="1"/>
          <w:sz w:val="24"/>
          <w:szCs w:val="24"/>
          <w:rtl w:val="0"/>
        </w:rPr>
        <w:t xml:space="preserve">All documents are to be produced in Georgian.</w:t>
      </w:r>
      <w:r w:rsidDel="00000000" w:rsidR="00000000" w:rsidRPr="00000000">
        <w:rPr>
          <w:sz w:val="24"/>
          <w:szCs w:val="24"/>
          <w:rtl w:val="0"/>
        </w:rPr>
        <w:t xml:space="preserve"> Draft versions should be sent to REC Caucasus and key findings presented to core stakeholders for validation and feedback.</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1"/>
          <w:i w:val="1"/>
          <w:smallCaps w:val="0"/>
          <w:strike w:val="0"/>
          <w:color w:val="44546a"/>
          <w:sz w:val="24"/>
          <w:szCs w:val="24"/>
          <w:u w:val="none"/>
          <w:shd w:fill="auto" w:val="clear"/>
          <w:vertAlign w:val="baseline"/>
        </w:rPr>
      </w:pPr>
      <w:r w:rsidDel="00000000" w:rsidR="00000000" w:rsidRPr="00000000">
        <w:rPr>
          <w:rFonts w:ascii="Calibri" w:cs="Calibri" w:eastAsia="Calibri" w:hAnsi="Calibri"/>
          <w:b w:val="1"/>
          <w:i w:val="1"/>
          <w:smallCaps w:val="0"/>
          <w:strike w:val="0"/>
          <w:color w:val="44546a"/>
          <w:sz w:val="24"/>
          <w:szCs w:val="24"/>
          <w:u w:val="none"/>
          <w:shd w:fill="auto" w:val="clear"/>
          <w:vertAlign w:val="baseline"/>
          <w:rtl w:val="0"/>
        </w:rPr>
        <w:t xml:space="preserve">Table 3. Reporting Obligations</w:t>
      </w:r>
    </w:p>
    <w:tbl>
      <w:tblPr>
        <w:tblStyle w:val="Table5"/>
        <w:tblW w:w="9351.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32"/>
        <w:gridCol w:w="1276"/>
        <w:gridCol w:w="3969"/>
        <w:gridCol w:w="1431"/>
        <w:gridCol w:w="1843"/>
        <w:tblGridChange w:id="0">
          <w:tblGrid>
            <w:gridCol w:w="832"/>
            <w:gridCol w:w="1276"/>
            <w:gridCol w:w="3969"/>
            <w:gridCol w:w="1431"/>
            <w:gridCol w:w="1843"/>
          </w:tblGrid>
        </w:tblGridChange>
      </w:tblGrid>
      <w:tr>
        <w:trPr>
          <w:cantSplit w:val="0"/>
          <w:trHeight w:val="423" w:hRule="atLeast"/>
          <w:tblHeader w:val="0"/>
        </w:trPr>
        <w:tc>
          <w:tcPr>
            <w:shd w:fill="d9e1f2" w:val="clear"/>
          </w:tcPr>
          <w:p w:rsidR="00000000" w:rsidDel="00000000" w:rsidP="00000000" w:rsidRDefault="00000000" w:rsidRPr="00000000" w14:paraId="00000104">
            <w:pPr>
              <w:spacing w:after="0" w:before="0" w:lineRule="auto"/>
              <w:jc w:val="center"/>
              <w:rPr>
                <w:rFonts w:ascii="Calibri" w:cs="Calibri" w:eastAsia="Calibri" w:hAnsi="Calibri"/>
                <w:b w:val="1"/>
                <w:color w:val="000000"/>
                <w:sz w:val="18"/>
                <w:szCs w:val="18"/>
              </w:rPr>
            </w:pPr>
            <w:r w:rsidDel="00000000" w:rsidR="00000000" w:rsidRPr="00000000">
              <w:rPr>
                <w:rFonts w:ascii="Calibri" w:cs="Calibri" w:eastAsia="Calibri" w:hAnsi="Calibri"/>
                <w:b w:val="1"/>
                <w:color w:val="000000"/>
                <w:sz w:val="18"/>
                <w:szCs w:val="18"/>
                <w:rtl w:val="0"/>
              </w:rPr>
              <w:t xml:space="preserve">Report </w:t>
            </w:r>
          </w:p>
          <w:p w:rsidR="00000000" w:rsidDel="00000000" w:rsidP="00000000" w:rsidRDefault="00000000" w:rsidRPr="00000000" w14:paraId="00000105">
            <w:pPr>
              <w:spacing w:after="0" w:before="0" w:lineRule="auto"/>
              <w:jc w:val="center"/>
              <w:rPr>
                <w:rFonts w:ascii="Calibri" w:cs="Calibri" w:eastAsia="Calibri" w:hAnsi="Calibri"/>
                <w:b w:val="1"/>
                <w:color w:val="000000"/>
                <w:sz w:val="18"/>
                <w:szCs w:val="18"/>
              </w:rPr>
            </w:pPr>
            <w:r w:rsidDel="00000000" w:rsidR="00000000" w:rsidRPr="00000000">
              <w:rPr>
                <w:rFonts w:ascii="Calibri" w:cs="Calibri" w:eastAsia="Calibri" w:hAnsi="Calibri"/>
                <w:b w:val="1"/>
                <w:color w:val="000000"/>
                <w:sz w:val="18"/>
                <w:szCs w:val="18"/>
                <w:rtl w:val="0"/>
              </w:rPr>
              <w:t xml:space="preserve">Index</w:t>
            </w:r>
          </w:p>
        </w:tc>
        <w:tc>
          <w:tcPr>
            <w:shd w:fill="d9e1f2" w:val="clear"/>
          </w:tcPr>
          <w:p w:rsidR="00000000" w:rsidDel="00000000" w:rsidP="00000000" w:rsidRDefault="00000000" w:rsidRPr="00000000" w14:paraId="00000106">
            <w:pPr>
              <w:spacing w:after="0" w:before="0" w:lineRule="auto"/>
              <w:jc w:val="center"/>
              <w:rPr>
                <w:rFonts w:ascii="Calibri" w:cs="Calibri" w:eastAsia="Calibri" w:hAnsi="Calibri"/>
                <w:b w:val="1"/>
                <w:color w:val="000000"/>
                <w:sz w:val="18"/>
                <w:szCs w:val="18"/>
              </w:rPr>
            </w:pPr>
            <w:r w:rsidDel="00000000" w:rsidR="00000000" w:rsidRPr="00000000">
              <w:rPr>
                <w:rFonts w:ascii="Calibri" w:cs="Calibri" w:eastAsia="Calibri" w:hAnsi="Calibri"/>
                <w:b w:val="1"/>
                <w:color w:val="000000"/>
                <w:sz w:val="18"/>
                <w:szCs w:val="18"/>
                <w:rtl w:val="0"/>
              </w:rPr>
              <w:t xml:space="preserve">N</w:t>
            </w:r>
          </w:p>
        </w:tc>
        <w:tc>
          <w:tcPr>
            <w:shd w:fill="d9e1f2" w:val="clear"/>
          </w:tcPr>
          <w:p w:rsidR="00000000" w:rsidDel="00000000" w:rsidP="00000000" w:rsidRDefault="00000000" w:rsidRPr="00000000" w14:paraId="00000107">
            <w:pPr>
              <w:spacing w:after="0" w:before="0" w:lineRule="auto"/>
              <w:jc w:val="center"/>
              <w:rPr>
                <w:rFonts w:ascii="Calibri" w:cs="Calibri" w:eastAsia="Calibri" w:hAnsi="Calibri"/>
                <w:b w:val="1"/>
                <w:color w:val="000000"/>
                <w:sz w:val="18"/>
                <w:szCs w:val="18"/>
              </w:rPr>
            </w:pPr>
            <w:r w:rsidDel="00000000" w:rsidR="00000000" w:rsidRPr="00000000">
              <w:rPr>
                <w:rFonts w:ascii="Calibri" w:cs="Calibri" w:eastAsia="Calibri" w:hAnsi="Calibri"/>
                <w:b w:val="1"/>
                <w:color w:val="000000"/>
                <w:sz w:val="18"/>
                <w:szCs w:val="18"/>
                <w:rtl w:val="0"/>
              </w:rPr>
              <w:t xml:space="preserve">Deliverable</w:t>
            </w:r>
          </w:p>
        </w:tc>
        <w:tc>
          <w:tcPr>
            <w:shd w:fill="d9e1f2" w:val="clear"/>
          </w:tcPr>
          <w:p w:rsidR="00000000" w:rsidDel="00000000" w:rsidP="00000000" w:rsidRDefault="00000000" w:rsidRPr="00000000" w14:paraId="00000108">
            <w:pPr>
              <w:spacing w:after="0" w:before="0" w:lineRule="auto"/>
              <w:jc w:val="center"/>
              <w:rPr>
                <w:rFonts w:ascii="Calibri" w:cs="Calibri" w:eastAsia="Calibri" w:hAnsi="Calibri"/>
                <w:b w:val="1"/>
                <w:color w:val="000000"/>
                <w:sz w:val="18"/>
                <w:szCs w:val="18"/>
              </w:rPr>
            </w:pPr>
            <w:r w:rsidDel="00000000" w:rsidR="00000000" w:rsidRPr="00000000">
              <w:rPr>
                <w:rFonts w:ascii="Calibri" w:cs="Calibri" w:eastAsia="Calibri" w:hAnsi="Calibri"/>
                <w:b w:val="1"/>
                <w:color w:val="000000"/>
                <w:sz w:val="18"/>
                <w:szCs w:val="18"/>
                <w:rtl w:val="0"/>
              </w:rPr>
              <w:t xml:space="preserve">Estimated </w:t>
            </w:r>
          </w:p>
          <w:p w:rsidR="00000000" w:rsidDel="00000000" w:rsidP="00000000" w:rsidRDefault="00000000" w:rsidRPr="00000000" w14:paraId="00000109">
            <w:pPr>
              <w:spacing w:after="0" w:before="0" w:lineRule="auto"/>
              <w:jc w:val="center"/>
              <w:rPr>
                <w:rFonts w:ascii="Calibri" w:cs="Calibri" w:eastAsia="Calibri" w:hAnsi="Calibri"/>
                <w:b w:val="1"/>
                <w:color w:val="000000"/>
                <w:sz w:val="18"/>
                <w:szCs w:val="18"/>
              </w:rPr>
            </w:pPr>
            <w:r w:rsidDel="00000000" w:rsidR="00000000" w:rsidRPr="00000000">
              <w:rPr>
                <w:rFonts w:ascii="Calibri" w:cs="Calibri" w:eastAsia="Calibri" w:hAnsi="Calibri"/>
                <w:b w:val="1"/>
                <w:color w:val="000000"/>
                <w:sz w:val="18"/>
                <w:szCs w:val="18"/>
                <w:rtl w:val="0"/>
              </w:rPr>
              <w:t xml:space="preserve">Number of </w:t>
            </w:r>
          </w:p>
          <w:p w:rsidR="00000000" w:rsidDel="00000000" w:rsidP="00000000" w:rsidRDefault="00000000" w:rsidRPr="00000000" w14:paraId="0000010A">
            <w:pPr>
              <w:spacing w:after="0" w:before="0" w:lineRule="auto"/>
              <w:jc w:val="center"/>
              <w:rPr>
                <w:rFonts w:ascii="Calibri" w:cs="Calibri" w:eastAsia="Calibri" w:hAnsi="Calibri"/>
                <w:b w:val="1"/>
                <w:color w:val="000000"/>
                <w:sz w:val="18"/>
                <w:szCs w:val="18"/>
              </w:rPr>
            </w:pPr>
            <w:r w:rsidDel="00000000" w:rsidR="00000000" w:rsidRPr="00000000">
              <w:rPr>
                <w:rFonts w:ascii="Calibri" w:cs="Calibri" w:eastAsia="Calibri" w:hAnsi="Calibri"/>
                <w:b w:val="1"/>
                <w:color w:val="000000"/>
                <w:sz w:val="18"/>
                <w:szCs w:val="18"/>
                <w:rtl w:val="0"/>
              </w:rPr>
              <w:t xml:space="preserve">Working Days</w:t>
            </w:r>
          </w:p>
        </w:tc>
        <w:tc>
          <w:tcPr>
            <w:shd w:fill="d9e1f2" w:val="clear"/>
            <w:vAlign w:val="center"/>
          </w:tcPr>
          <w:p w:rsidR="00000000" w:rsidDel="00000000" w:rsidP="00000000" w:rsidRDefault="00000000" w:rsidRPr="00000000" w14:paraId="0000010B">
            <w:pPr>
              <w:spacing w:after="0" w:before="0" w:lineRule="auto"/>
              <w:jc w:val="center"/>
              <w:rPr>
                <w:rFonts w:ascii="Calibri" w:cs="Calibri" w:eastAsia="Calibri" w:hAnsi="Calibri"/>
                <w:b w:val="1"/>
                <w:color w:val="000000"/>
                <w:sz w:val="18"/>
                <w:szCs w:val="18"/>
              </w:rPr>
            </w:pPr>
            <w:r w:rsidDel="00000000" w:rsidR="00000000" w:rsidRPr="00000000">
              <w:rPr>
                <w:rFonts w:ascii="Calibri" w:cs="Calibri" w:eastAsia="Calibri" w:hAnsi="Calibri"/>
                <w:b w:val="1"/>
                <w:color w:val="000000"/>
                <w:sz w:val="18"/>
                <w:szCs w:val="18"/>
                <w:rtl w:val="0"/>
              </w:rPr>
              <w:t xml:space="preserve">Final Documents to be Presented Until</w:t>
            </w:r>
          </w:p>
        </w:tc>
      </w:tr>
      <w:tr>
        <w:trPr>
          <w:cantSplit w:val="0"/>
          <w:trHeight w:val="1257" w:hRule="atLeast"/>
          <w:tblHeader w:val="0"/>
        </w:trPr>
        <w:tc>
          <w:tcPr>
            <w:shd w:fill="ffffff" w:val="clear"/>
          </w:tcPr>
          <w:p w:rsidR="00000000" w:rsidDel="00000000" w:rsidP="00000000" w:rsidRDefault="00000000" w:rsidRPr="00000000" w14:paraId="0000010C">
            <w:pPr>
              <w:spacing w:after="0" w:before="0" w:lineRule="auto"/>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R1</w:t>
            </w:r>
          </w:p>
        </w:tc>
        <w:tc>
          <w:tcPr>
            <w:shd w:fill="ffffff" w:val="clear"/>
          </w:tcPr>
          <w:p w:rsidR="00000000" w:rsidDel="00000000" w:rsidP="00000000" w:rsidRDefault="00000000" w:rsidRPr="00000000" w14:paraId="0000010D">
            <w:pPr>
              <w:spacing w:after="0" w:before="0" w:lineRule="auto"/>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Deliverable 1</w:t>
            </w:r>
          </w:p>
        </w:tc>
        <w:tc>
          <w:tcPr>
            <w:shd w:fill="auto" w:val="clear"/>
          </w:tcPr>
          <w:p w:rsidR="00000000" w:rsidDel="00000000" w:rsidP="00000000" w:rsidRDefault="00000000" w:rsidRPr="00000000" w14:paraId="0000010E">
            <w:pPr>
              <w:spacing w:after="0" w:before="0" w:lineRule="auto"/>
              <w:jc w:val="both"/>
              <w:rPr>
                <w:rFonts w:ascii="Calibri" w:cs="Calibri" w:eastAsia="Calibri" w:hAnsi="Calibri"/>
                <w:color w:val="0d0d0d"/>
                <w:sz w:val="18"/>
                <w:szCs w:val="18"/>
              </w:rPr>
            </w:pPr>
            <w:r w:rsidDel="00000000" w:rsidR="00000000" w:rsidRPr="00000000">
              <w:rPr>
                <w:rFonts w:ascii="Calibri" w:cs="Calibri" w:eastAsia="Calibri" w:hAnsi="Calibri"/>
                <w:color w:val="0d0d0d"/>
                <w:sz w:val="18"/>
                <w:szCs w:val="18"/>
                <w:rtl w:val="0"/>
              </w:rPr>
              <w:t xml:space="preserve">Concept on the institutional, governance, and management structures for the Three Alazani Rivers Biosphere Reserve (BR), incorporating analyses of financing mechanisms, with a particular emphasis on state and donor financing opportunities, and providing argumentation for the agreed model, detailing its advantages and disadvantages. </w:t>
            </w:r>
            <w:r w:rsidDel="00000000" w:rsidR="00000000" w:rsidRPr="00000000">
              <w:rPr>
                <w:color w:val="0d0d0d"/>
                <w:sz w:val="18"/>
                <w:szCs w:val="18"/>
                <w:rtl w:val="0"/>
              </w:rPr>
              <w:t xml:space="preserve">The concept</w:t>
            </w:r>
            <w:r w:rsidDel="00000000" w:rsidR="00000000" w:rsidRPr="00000000">
              <w:rPr>
                <w:rFonts w:ascii="Calibri" w:cs="Calibri" w:eastAsia="Calibri" w:hAnsi="Calibri"/>
                <w:color w:val="0d0d0d"/>
                <w:sz w:val="18"/>
                <w:szCs w:val="18"/>
                <w:rtl w:val="0"/>
              </w:rPr>
              <w:t xml:space="preserve"> also should include </w:t>
            </w:r>
            <w:r w:rsidDel="00000000" w:rsidR="00000000" w:rsidRPr="00000000">
              <w:rPr>
                <w:color w:val="0d0d0d"/>
                <w:sz w:val="18"/>
                <w:szCs w:val="18"/>
                <w:rtl w:val="0"/>
              </w:rPr>
              <w:t xml:space="preserve">an </w:t>
            </w:r>
            <w:r w:rsidDel="00000000" w:rsidR="00000000" w:rsidRPr="00000000">
              <w:rPr>
                <w:rFonts w:ascii="Calibri" w:cs="Calibri" w:eastAsia="Calibri" w:hAnsi="Calibri"/>
                <w:color w:val="0d0d0d"/>
                <w:sz w:val="18"/>
                <w:szCs w:val="18"/>
                <w:rtl w:val="0"/>
              </w:rPr>
              <w:t xml:space="preserve">analysis of relevant institutions, with a focus on but not limited to Akhmeta (including the Administration of the Tusheti Protected Landscape) and Telavi municipalities, the Agency of Protected Areas, the National Forestry Agency, and MEPA to identify opportunities for integrating biosphere reserve management approaches and goals into their organizational structures.</w:t>
            </w:r>
          </w:p>
        </w:tc>
        <w:tc>
          <w:tcPr/>
          <w:p w:rsidR="00000000" w:rsidDel="00000000" w:rsidP="00000000" w:rsidRDefault="00000000" w:rsidRPr="00000000" w14:paraId="0000010F">
            <w:pPr>
              <w:spacing w:after="0" w:before="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11</w:t>
            </w:r>
          </w:p>
        </w:tc>
        <w:tc>
          <w:tcPr>
            <w:shd w:fill="auto" w:val="clear"/>
            <w:vAlign w:val="center"/>
          </w:tcPr>
          <w:p w:rsidR="00000000" w:rsidDel="00000000" w:rsidP="00000000" w:rsidRDefault="00000000" w:rsidRPr="00000000" w14:paraId="00000110">
            <w:pPr>
              <w:spacing w:after="0" w:before="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15 May 2024</w:t>
            </w:r>
          </w:p>
          <w:p w:rsidR="00000000" w:rsidDel="00000000" w:rsidP="00000000" w:rsidRDefault="00000000" w:rsidRPr="00000000" w14:paraId="00000111">
            <w:pPr>
              <w:spacing w:after="0" w:before="0" w:lineRule="auto"/>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12">
            <w:pPr>
              <w:spacing w:after="0" w:before="0" w:lineRule="auto"/>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13">
            <w:pPr>
              <w:spacing w:after="0" w:before="0" w:lineRule="auto"/>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14">
            <w:pPr>
              <w:spacing w:after="0" w:before="0" w:lineRule="auto"/>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15">
            <w:pPr>
              <w:spacing w:after="0" w:before="0" w:lineRule="auto"/>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16">
            <w:pPr>
              <w:spacing w:after="0" w:before="0" w:lineRule="auto"/>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17">
            <w:pPr>
              <w:spacing w:after="0" w:before="0" w:lineRule="auto"/>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18">
            <w:pPr>
              <w:spacing w:after="0" w:before="0" w:lineRule="auto"/>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19">
            <w:pPr>
              <w:spacing w:after="0" w:before="0" w:lineRule="auto"/>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1A">
            <w:pPr>
              <w:spacing w:after="0" w:before="0" w:lineRule="auto"/>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1B">
            <w:pPr>
              <w:spacing w:after="0" w:before="0" w:lineRule="auto"/>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1C">
            <w:pPr>
              <w:spacing w:after="0" w:before="0" w:lineRule="auto"/>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1D">
            <w:pPr>
              <w:spacing w:after="0" w:before="0" w:lineRule="auto"/>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1E">
            <w:pPr>
              <w:spacing w:after="0" w:before="0" w:lineRule="auto"/>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1F">
            <w:pPr>
              <w:spacing w:after="0" w:before="0" w:lineRule="auto"/>
              <w:rPr>
                <w:rFonts w:ascii="Calibri" w:cs="Calibri" w:eastAsia="Calibri" w:hAnsi="Calibri"/>
                <w:sz w:val="18"/>
                <w:szCs w:val="18"/>
              </w:rPr>
            </w:pPr>
            <w:r w:rsidDel="00000000" w:rsidR="00000000" w:rsidRPr="00000000">
              <w:rPr>
                <w:rtl w:val="0"/>
              </w:rPr>
            </w:r>
          </w:p>
        </w:tc>
      </w:tr>
      <w:tr>
        <w:trPr>
          <w:cantSplit w:val="0"/>
          <w:trHeight w:val="705" w:hRule="atLeast"/>
          <w:tblHeader w:val="0"/>
        </w:trPr>
        <w:tc>
          <w:tcPr>
            <w:shd w:fill="ffffff" w:val="clear"/>
          </w:tcPr>
          <w:p w:rsidR="00000000" w:rsidDel="00000000" w:rsidP="00000000" w:rsidRDefault="00000000" w:rsidRPr="00000000" w14:paraId="00000120">
            <w:pPr>
              <w:spacing w:after="0" w:before="0" w:lineRule="auto"/>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R2</w:t>
            </w:r>
          </w:p>
        </w:tc>
        <w:tc>
          <w:tcPr>
            <w:shd w:fill="ffffff" w:val="clear"/>
          </w:tcPr>
          <w:p w:rsidR="00000000" w:rsidDel="00000000" w:rsidP="00000000" w:rsidRDefault="00000000" w:rsidRPr="00000000" w14:paraId="00000121">
            <w:pPr>
              <w:spacing w:after="0" w:before="0" w:lineRule="auto"/>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Deliverable 2</w:t>
            </w:r>
          </w:p>
        </w:tc>
        <w:tc>
          <w:tcPr>
            <w:shd w:fill="auto" w:val="clear"/>
          </w:tcPr>
          <w:p w:rsidR="00000000" w:rsidDel="00000000" w:rsidP="00000000" w:rsidRDefault="00000000" w:rsidRPr="00000000" w14:paraId="00000122">
            <w:pPr>
              <w:spacing w:after="0" w:before="0" w:lineRule="auto"/>
              <w:jc w:val="both"/>
              <w:rPr>
                <w:rFonts w:ascii="Calibri" w:cs="Calibri" w:eastAsia="Calibri" w:hAnsi="Calibri"/>
                <w:color w:val="0d0d0d"/>
                <w:sz w:val="18"/>
                <w:szCs w:val="18"/>
              </w:rPr>
            </w:pPr>
            <w:r w:rsidDel="00000000" w:rsidR="00000000" w:rsidRPr="00000000">
              <w:rPr>
                <w:rFonts w:ascii="Calibri" w:cs="Calibri" w:eastAsia="Calibri" w:hAnsi="Calibri"/>
                <w:color w:val="0d0d0d"/>
                <w:sz w:val="18"/>
                <w:szCs w:val="18"/>
                <w:rtl w:val="0"/>
              </w:rPr>
              <w:t xml:space="preserve">Packages of legal changes to be implemented in the statutes of the institutions presented in the Three Alazani Rivers BR governing and management structures.</w:t>
            </w:r>
          </w:p>
        </w:tc>
        <w:tc>
          <w:tcPr/>
          <w:p w:rsidR="00000000" w:rsidDel="00000000" w:rsidP="00000000" w:rsidRDefault="00000000" w:rsidRPr="00000000" w14:paraId="00000123">
            <w:pPr>
              <w:spacing w:after="0" w:before="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11</w:t>
            </w:r>
          </w:p>
        </w:tc>
        <w:tc>
          <w:tcPr>
            <w:shd w:fill="auto" w:val="clear"/>
            <w:vAlign w:val="center"/>
          </w:tcPr>
          <w:p w:rsidR="00000000" w:rsidDel="00000000" w:rsidP="00000000" w:rsidRDefault="00000000" w:rsidRPr="00000000" w14:paraId="00000124">
            <w:pPr>
              <w:spacing w:after="0" w:before="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28 May 2024</w:t>
            </w:r>
          </w:p>
          <w:p w:rsidR="00000000" w:rsidDel="00000000" w:rsidP="00000000" w:rsidRDefault="00000000" w:rsidRPr="00000000" w14:paraId="00000125">
            <w:pPr>
              <w:spacing w:after="0" w:before="0" w:lineRule="auto"/>
              <w:jc w:val="cente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26">
            <w:pPr>
              <w:spacing w:after="0" w:before="0" w:lineRule="auto"/>
              <w:jc w:val="cente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27">
            <w:pPr>
              <w:spacing w:after="0" w:before="0" w:lineRule="auto"/>
              <w:jc w:val="center"/>
              <w:rPr>
                <w:rFonts w:ascii="Calibri" w:cs="Calibri" w:eastAsia="Calibri" w:hAnsi="Calibri"/>
                <w:sz w:val="18"/>
                <w:szCs w:val="18"/>
              </w:rPr>
            </w:pPr>
            <w:r w:rsidDel="00000000" w:rsidR="00000000" w:rsidRPr="00000000">
              <w:rPr>
                <w:rtl w:val="0"/>
              </w:rPr>
            </w:r>
          </w:p>
        </w:tc>
      </w:tr>
      <w:tr>
        <w:trPr>
          <w:cantSplit w:val="0"/>
          <w:trHeight w:val="719" w:hRule="atLeast"/>
          <w:tblHeader w:val="0"/>
        </w:trPr>
        <w:tc>
          <w:tcPr>
            <w:shd w:fill="ffffff" w:val="clear"/>
          </w:tcPr>
          <w:p w:rsidR="00000000" w:rsidDel="00000000" w:rsidP="00000000" w:rsidRDefault="00000000" w:rsidRPr="00000000" w14:paraId="00000128">
            <w:pPr>
              <w:spacing w:after="0" w:before="0" w:lineRule="auto"/>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R3</w:t>
            </w:r>
          </w:p>
        </w:tc>
        <w:tc>
          <w:tcPr>
            <w:shd w:fill="ffffff" w:val="clear"/>
          </w:tcPr>
          <w:p w:rsidR="00000000" w:rsidDel="00000000" w:rsidP="00000000" w:rsidRDefault="00000000" w:rsidRPr="00000000" w14:paraId="00000129">
            <w:pPr>
              <w:spacing w:after="0" w:before="0" w:lineRule="auto"/>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Deliverable 3</w:t>
            </w:r>
          </w:p>
        </w:tc>
        <w:tc>
          <w:tcPr>
            <w:shd w:fill="auto" w:val="clear"/>
          </w:tcPr>
          <w:p w:rsidR="00000000" w:rsidDel="00000000" w:rsidP="00000000" w:rsidRDefault="00000000" w:rsidRPr="00000000" w14:paraId="0000012A">
            <w:pPr>
              <w:spacing w:after="0" w:before="0" w:lineRule="auto"/>
              <w:jc w:val="both"/>
              <w:rPr>
                <w:rFonts w:ascii="Calibri" w:cs="Calibri" w:eastAsia="Calibri" w:hAnsi="Calibri"/>
                <w:color w:val="0d0d0d"/>
                <w:sz w:val="18"/>
                <w:szCs w:val="18"/>
              </w:rPr>
            </w:pPr>
            <w:r w:rsidDel="00000000" w:rsidR="00000000" w:rsidRPr="00000000">
              <w:rPr>
                <w:rFonts w:ascii="Calibri" w:cs="Calibri" w:eastAsia="Calibri" w:hAnsi="Calibri"/>
                <w:color w:val="0d0d0d"/>
                <w:sz w:val="18"/>
                <w:szCs w:val="18"/>
                <w:rtl w:val="0"/>
              </w:rPr>
              <w:t xml:space="preserve">Facilitation at least 3 stakeholder meetings on BR institutional, governance, and management structures are conducted. Provision of comprehensive content for stakeholder meetings, whether conducted online or in person, including agendas, signed lists of participants (in case of in-person meetings), minutes of meetings, photos, materials, and any other relevant documentation necessary for the effective conduct</w:t>
            </w:r>
            <w:r w:rsidDel="00000000" w:rsidR="00000000" w:rsidRPr="00000000">
              <w:rPr>
                <w:color w:val="0d0d0d"/>
                <w:sz w:val="18"/>
                <w:szCs w:val="18"/>
                <w:rtl w:val="0"/>
              </w:rPr>
              <w:t xml:space="preserve">,</w:t>
            </w:r>
            <w:r w:rsidDel="00000000" w:rsidR="00000000" w:rsidRPr="00000000">
              <w:rPr>
                <w:rFonts w:ascii="Calibri" w:cs="Calibri" w:eastAsia="Calibri" w:hAnsi="Calibri"/>
                <w:color w:val="0d0d0d"/>
                <w:sz w:val="18"/>
                <w:szCs w:val="18"/>
                <w:rtl w:val="0"/>
              </w:rPr>
              <w:t xml:space="preserve"> and documentation of the meetings.</w:t>
            </w:r>
          </w:p>
          <w:p w:rsidR="00000000" w:rsidDel="00000000" w:rsidP="00000000" w:rsidRDefault="00000000" w:rsidRPr="00000000" w14:paraId="0000012B">
            <w:pPr>
              <w:spacing w:after="0" w:before="0" w:lineRule="auto"/>
              <w:jc w:val="both"/>
              <w:rPr>
                <w:rFonts w:ascii="Calibri" w:cs="Calibri" w:eastAsia="Calibri" w:hAnsi="Calibri"/>
                <w:color w:val="0d0d0d"/>
                <w:sz w:val="18"/>
                <w:szCs w:val="18"/>
              </w:rPr>
            </w:pPr>
            <w:r w:rsidDel="00000000" w:rsidR="00000000" w:rsidRPr="00000000">
              <w:rPr>
                <w:rtl w:val="0"/>
              </w:rPr>
            </w:r>
          </w:p>
        </w:tc>
        <w:tc>
          <w:tcPr/>
          <w:p w:rsidR="00000000" w:rsidDel="00000000" w:rsidP="00000000" w:rsidRDefault="00000000" w:rsidRPr="00000000" w14:paraId="0000012C">
            <w:pPr>
              <w:spacing w:after="0" w:before="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5</w:t>
            </w:r>
          </w:p>
        </w:tc>
        <w:tc>
          <w:tcPr>
            <w:shd w:fill="auto" w:val="clear"/>
            <w:vAlign w:val="center"/>
          </w:tcPr>
          <w:p w:rsidR="00000000" w:rsidDel="00000000" w:rsidP="00000000" w:rsidRDefault="00000000" w:rsidRPr="00000000" w14:paraId="0000012D">
            <w:pPr>
              <w:spacing w:after="0" w:before="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14 June 2024</w:t>
            </w:r>
          </w:p>
          <w:p w:rsidR="00000000" w:rsidDel="00000000" w:rsidP="00000000" w:rsidRDefault="00000000" w:rsidRPr="00000000" w14:paraId="0000012E">
            <w:pPr>
              <w:spacing w:after="0" w:before="0" w:lineRule="auto"/>
              <w:jc w:val="cente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2F">
            <w:pPr>
              <w:spacing w:after="0" w:before="0" w:lineRule="auto"/>
              <w:jc w:val="cente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30">
            <w:pPr>
              <w:spacing w:after="0" w:before="0" w:lineRule="auto"/>
              <w:jc w:val="cente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31">
            <w:pPr>
              <w:spacing w:after="0" w:before="0" w:lineRule="auto"/>
              <w:jc w:val="cente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32">
            <w:pPr>
              <w:spacing w:after="0" w:before="0" w:lineRule="auto"/>
              <w:jc w:val="cente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33">
            <w:pPr>
              <w:spacing w:after="0" w:before="0" w:lineRule="auto"/>
              <w:jc w:val="cente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34">
            <w:pPr>
              <w:spacing w:after="0" w:before="0" w:lineRule="auto"/>
              <w:jc w:val="cente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35">
            <w:pPr>
              <w:spacing w:after="0" w:before="0" w:lineRule="auto"/>
              <w:jc w:val="cente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36">
            <w:pPr>
              <w:spacing w:after="0" w:before="0" w:lineRule="auto"/>
              <w:jc w:val="center"/>
              <w:rPr>
                <w:rFonts w:ascii="Calibri" w:cs="Calibri" w:eastAsia="Calibri" w:hAnsi="Calibri"/>
                <w:sz w:val="18"/>
                <w:szCs w:val="18"/>
              </w:rPr>
            </w:pPr>
            <w:r w:rsidDel="00000000" w:rsidR="00000000" w:rsidRPr="00000000">
              <w:rPr>
                <w:rtl w:val="0"/>
              </w:rPr>
            </w:r>
          </w:p>
        </w:tc>
      </w:tr>
      <w:tr>
        <w:trPr>
          <w:cantSplit w:val="0"/>
          <w:trHeight w:val="450" w:hRule="atLeast"/>
          <w:tblHeader w:val="0"/>
        </w:trPr>
        <w:tc>
          <w:tcPr>
            <w:shd w:fill="ffffff" w:val="clear"/>
          </w:tcPr>
          <w:p w:rsidR="00000000" w:rsidDel="00000000" w:rsidP="00000000" w:rsidRDefault="00000000" w:rsidRPr="00000000" w14:paraId="00000137">
            <w:pPr>
              <w:spacing w:after="0" w:before="0" w:line="36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R4</w:t>
            </w:r>
          </w:p>
        </w:tc>
        <w:tc>
          <w:tcPr>
            <w:shd w:fill="ffffff" w:val="clear"/>
          </w:tcPr>
          <w:p w:rsidR="00000000" w:rsidDel="00000000" w:rsidP="00000000" w:rsidRDefault="00000000" w:rsidRPr="00000000" w14:paraId="00000138">
            <w:pPr>
              <w:spacing w:after="0" w:before="0" w:line="36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Deliverable 4</w:t>
            </w:r>
          </w:p>
        </w:tc>
        <w:tc>
          <w:tcPr>
            <w:shd w:fill="auto" w:val="clear"/>
          </w:tcPr>
          <w:p w:rsidR="00000000" w:rsidDel="00000000" w:rsidP="00000000" w:rsidRDefault="00000000" w:rsidRPr="00000000" w14:paraId="00000139">
            <w:pPr>
              <w:spacing w:after="0" w:before="0" w:lineRule="auto"/>
              <w:jc w:val="both"/>
              <w:rPr>
                <w:rFonts w:ascii="Calibri" w:cs="Calibri" w:eastAsia="Calibri" w:hAnsi="Calibri"/>
                <w:color w:val="0d0d0d"/>
                <w:sz w:val="18"/>
                <w:szCs w:val="18"/>
              </w:rPr>
            </w:pPr>
            <w:r w:rsidDel="00000000" w:rsidR="00000000" w:rsidRPr="00000000">
              <w:rPr>
                <w:rFonts w:ascii="Calibri" w:cs="Calibri" w:eastAsia="Calibri" w:hAnsi="Calibri"/>
                <w:color w:val="0d0d0d"/>
                <w:sz w:val="18"/>
                <w:szCs w:val="18"/>
                <w:rtl w:val="0"/>
              </w:rPr>
              <w:t xml:space="preserve">Formation documents for the legal registration and establishment of the Three Alazani Rivers Biosphere Reserve governing body as a legal entity with gender consideration. Including relevant documents for the establishment of the gender-responsive advisory body of the BR.</w:t>
            </w:r>
          </w:p>
          <w:p w:rsidR="00000000" w:rsidDel="00000000" w:rsidP="00000000" w:rsidRDefault="00000000" w:rsidRPr="00000000" w14:paraId="0000013A">
            <w:pPr>
              <w:spacing w:after="0" w:before="0" w:lineRule="auto"/>
              <w:jc w:val="both"/>
              <w:rPr>
                <w:rFonts w:ascii="Calibri" w:cs="Calibri" w:eastAsia="Calibri" w:hAnsi="Calibri"/>
                <w:color w:val="0d0d0d"/>
                <w:sz w:val="18"/>
                <w:szCs w:val="18"/>
              </w:rPr>
            </w:pPr>
            <w:r w:rsidDel="00000000" w:rsidR="00000000" w:rsidRPr="00000000">
              <w:rPr>
                <w:rtl w:val="0"/>
              </w:rPr>
            </w:r>
          </w:p>
        </w:tc>
        <w:tc>
          <w:tcPr/>
          <w:p w:rsidR="00000000" w:rsidDel="00000000" w:rsidP="00000000" w:rsidRDefault="00000000" w:rsidRPr="00000000" w14:paraId="0000013B">
            <w:pPr>
              <w:spacing w:after="0" w:before="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8</w:t>
            </w:r>
          </w:p>
        </w:tc>
        <w:tc>
          <w:tcPr>
            <w:shd w:fill="auto" w:val="clear"/>
            <w:vAlign w:val="center"/>
          </w:tcPr>
          <w:p w:rsidR="00000000" w:rsidDel="00000000" w:rsidP="00000000" w:rsidRDefault="00000000" w:rsidRPr="00000000" w14:paraId="0000013C">
            <w:pPr>
              <w:spacing w:after="0" w:before="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28 June 2024</w:t>
            </w:r>
          </w:p>
          <w:p w:rsidR="00000000" w:rsidDel="00000000" w:rsidP="00000000" w:rsidRDefault="00000000" w:rsidRPr="00000000" w14:paraId="0000013D">
            <w:pPr>
              <w:spacing w:after="0" w:before="0" w:lineRule="auto"/>
              <w:jc w:val="cente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3E">
            <w:pPr>
              <w:spacing w:after="0" w:before="0" w:lineRule="auto"/>
              <w:jc w:val="cente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3F">
            <w:pPr>
              <w:spacing w:after="0" w:before="0" w:lineRule="auto"/>
              <w:jc w:val="cente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40">
            <w:pPr>
              <w:spacing w:after="0" w:before="0" w:lineRule="auto"/>
              <w:jc w:val="cente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41">
            <w:pPr>
              <w:spacing w:after="0" w:before="0" w:lineRule="auto"/>
              <w:jc w:val="center"/>
              <w:rPr>
                <w:rFonts w:ascii="Calibri" w:cs="Calibri" w:eastAsia="Calibri" w:hAnsi="Calibri"/>
                <w:sz w:val="18"/>
                <w:szCs w:val="18"/>
              </w:rPr>
            </w:pPr>
            <w:r w:rsidDel="00000000" w:rsidR="00000000" w:rsidRPr="00000000">
              <w:rPr>
                <w:rtl w:val="0"/>
              </w:rPr>
            </w:r>
          </w:p>
        </w:tc>
      </w:tr>
    </w:tbl>
    <w:p w:rsidR="00000000" w:rsidDel="00000000" w:rsidP="00000000" w:rsidRDefault="00000000" w:rsidRPr="00000000" w14:paraId="00000142">
      <w:pPr>
        <w:pStyle w:val="Heading1"/>
        <w:numPr>
          <w:ilvl w:val="0"/>
          <w:numId w:val="11"/>
        </w:numPr>
        <w:spacing w:line="276" w:lineRule="auto"/>
        <w:ind w:left="720" w:hanging="360"/>
        <w:rPr>
          <w:sz w:val="24"/>
          <w:szCs w:val="24"/>
        </w:rPr>
      </w:pPr>
      <w:bookmarkStart w:colFirst="0" w:colLast="0" w:name="_heading=h.lnxbz9" w:id="13"/>
      <w:bookmarkEnd w:id="13"/>
      <w:r w:rsidDel="00000000" w:rsidR="00000000" w:rsidRPr="00000000">
        <w:rPr>
          <w:sz w:val="24"/>
          <w:szCs w:val="24"/>
          <w:rtl w:val="0"/>
        </w:rPr>
        <w:t xml:space="preserve">Required Expertise</w:t>
      </w:r>
    </w:p>
    <w:p w:rsidR="00000000" w:rsidDel="00000000" w:rsidP="00000000" w:rsidRDefault="00000000" w:rsidRPr="00000000" w14:paraId="00000143">
      <w:pPr>
        <w:spacing w:line="276" w:lineRule="auto"/>
        <w:jc w:val="both"/>
        <w:rPr>
          <w:sz w:val="24"/>
          <w:szCs w:val="24"/>
        </w:rPr>
      </w:pPr>
      <w:r w:rsidDel="00000000" w:rsidR="00000000" w:rsidRPr="00000000">
        <w:rPr>
          <w:sz w:val="24"/>
          <w:szCs w:val="24"/>
          <w:rtl w:val="0"/>
        </w:rPr>
        <w:t xml:space="preserve">This consultancy requires the following expertise:</w:t>
      </w:r>
    </w:p>
    <w:p w:rsidR="00000000" w:rsidDel="00000000" w:rsidP="00000000" w:rsidRDefault="00000000" w:rsidRPr="00000000" w14:paraId="0000014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24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University degree in Law;</w:t>
      </w:r>
    </w:p>
    <w:p w:rsidR="00000000" w:rsidDel="00000000" w:rsidP="00000000" w:rsidRDefault="00000000" w:rsidRPr="00000000" w14:paraId="0000014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At least 2 years of proven experience in conducting legal consultancy and drafting legal documents and statutes;</w:t>
      </w:r>
    </w:p>
    <w:p w:rsidR="00000000" w:rsidDel="00000000" w:rsidP="00000000" w:rsidRDefault="00000000" w:rsidRPr="00000000" w14:paraId="0000014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Good understanding of relevant national legislation and regulatory frameworks related to the establishment of a Biosphere Reserve;</w:t>
      </w:r>
    </w:p>
    <w:p w:rsidR="00000000" w:rsidDel="00000000" w:rsidP="00000000" w:rsidRDefault="00000000" w:rsidRPr="00000000" w14:paraId="0000014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Strong background and experience in biodiversity, forest, and protected areas policies;</w:t>
      </w:r>
    </w:p>
    <w:p w:rsidR="00000000" w:rsidDel="00000000" w:rsidP="00000000" w:rsidRDefault="00000000" w:rsidRPr="00000000" w14:paraId="0000014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Knowledge of legal requirements for registering and establishing governing bodies;</w:t>
      </w:r>
    </w:p>
    <w:p w:rsidR="00000000" w:rsidDel="00000000" w:rsidP="00000000" w:rsidRDefault="00000000" w:rsidRPr="00000000" w14:paraId="0000014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4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Understanding of gender mainstreaming principles.</w:t>
      </w:r>
    </w:p>
    <w:p w:rsidR="00000000" w:rsidDel="00000000" w:rsidP="00000000" w:rsidRDefault="00000000" w:rsidRPr="00000000" w14:paraId="0000014A">
      <w:pPr>
        <w:pStyle w:val="Heading1"/>
        <w:numPr>
          <w:ilvl w:val="0"/>
          <w:numId w:val="11"/>
        </w:numPr>
        <w:spacing w:line="276" w:lineRule="auto"/>
        <w:ind w:left="720" w:hanging="360"/>
        <w:jc w:val="both"/>
        <w:rPr>
          <w:sz w:val="24"/>
          <w:szCs w:val="24"/>
        </w:rPr>
      </w:pPr>
      <w:bookmarkStart w:colFirst="0" w:colLast="0" w:name="_heading=h.35nkun2" w:id="14"/>
      <w:bookmarkEnd w:id="14"/>
      <w:r w:rsidDel="00000000" w:rsidR="00000000" w:rsidRPr="00000000">
        <w:rPr>
          <w:sz w:val="24"/>
          <w:szCs w:val="24"/>
          <w:rtl w:val="0"/>
        </w:rPr>
        <w:t xml:space="preserve">Payment Schedule and Estimated Time Input</w:t>
      </w:r>
    </w:p>
    <w:p w:rsidR="00000000" w:rsidDel="00000000" w:rsidP="00000000" w:rsidRDefault="00000000" w:rsidRPr="00000000" w14:paraId="0000014B">
      <w:pPr>
        <w:jc w:val="both"/>
        <w:rPr/>
      </w:pPr>
      <w:r w:rsidDel="00000000" w:rsidR="00000000" w:rsidRPr="00000000">
        <w:rPr>
          <w:rtl w:val="0"/>
        </w:rPr>
        <w:t xml:space="preserve">The payment mode for the service will be applied based on delivered reports and acts of acceptance (Service Delivery Acceptance Acts) signed by both sides (RECC and the Consultant) and submitted by the Consultant of original invoices to the RECC. RECC will only make milestone payments based on the achievement of specific deliverables as specified in the time schedule for submission of deliverables as per Table 3 (Reporting Obligations). The schedule of payments is specified below: </w:t>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1"/>
          <w:i w:val="1"/>
          <w:smallCaps w:val="0"/>
          <w:strike w:val="0"/>
          <w:color w:val="44546a"/>
          <w:sz w:val="24"/>
          <w:szCs w:val="24"/>
          <w:u w:val="none"/>
          <w:shd w:fill="auto" w:val="clear"/>
          <w:vertAlign w:val="baseline"/>
        </w:rPr>
      </w:pPr>
      <w:r w:rsidDel="00000000" w:rsidR="00000000" w:rsidRPr="00000000">
        <w:rPr>
          <w:rFonts w:ascii="Calibri" w:cs="Calibri" w:eastAsia="Calibri" w:hAnsi="Calibri"/>
          <w:b w:val="1"/>
          <w:i w:val="1"/>
          <w:smallCaps w:val="0"/>
          <w:strike w:val="0"/>
          <w:color w:val="44546a"/>
          <w:sz w:val="24"/>
          <w:szCs w:val="24"/>
          <w:u w:val="none"/>
          <w:shd w:fill="auto" w:val="clear"/>
          <w:vertAlign w:val="baseline"/>
          <w:rtl w:val="0"/>
        </w:rPr>
        <w:t xml:space="preserve">Table 4. Schedule of Payments</w:t>
      </w:r>
    </w:p>
    <w:tbl>
      <w:tblPr>
        <w:tblStyle w:val="Table6"/>
        <w:tblW w:w="509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2"/>
        <w:gridCol w:w="2976"/>
        <w:tblGridChange w:id="0">
          <w:tblGrid>
            <w:gridCol w:w="2122"/>
            <w:gridCol w:w="2976"/>
          </w:tblGrid>
        </w:tblGridChange>
      </w:tblGrid>
      <w:tr>
        <w:trPr>
          <w:cantSplit w:val="0"/>
          <w:tblHeader w:val="0"/>
        </w:trPr>
        <w:tc>
          <w:tcPr/>
          <w:p w:rsidR="00000000" w:rsidDel="00000000" w:rsidP="00000000" w:rsidRDefault="00000000" w:rsidRPr="00000000" w14:paraId="0000014D">
            <w:pPr>
              <w:jc w:val="center"/>
              <w:rPr>
                <w:rFonts w:ascii="Calibri" w:cs="Calibri" w:eastAsia="Calibri" w:hAnsi="Calibri"/>
                <w:sz w:val="20"/>
                <w:szCs w:val="20"/>
                <w:highlight w:val="white"/>
              </w:rPr>
            </w:pPr>
            <w:r w:rsidDel="00000000" w:rsidR="00000000" w:rsidRPr="00000000">
              <w:rPr>
                <w:rFonts w:ascii="Calibri" w:cs="Calibri" w:eastAsia="Calibri" w:hAnsi="Calibri"/>
                <w:b w:val="1"/>
                <w:sz w:val="20"/>
                <w:szCs w:val="20"/>
                <w:rtl w:val="0"/>
              </w:rPr>
              <w:t xml:space="preserve">Report Index for Deliverables</w:t>
            </w:r>
            <w:r w:rsidDel="00000000" w:rsidR="00000000" w:rsidRPr="00000000">
              <w:rPr>
                <w:rtl w:val="0"/>
              </w:rPr>
            </w:r>
          </w:p>
        </w:tc>
        <w:tc>
          <w:tcPr/>
          <w:p w:rsidR="00000000" w:rsidDel="00000000" w:rsidP="00000000" w:rsidRDefault="00000000" w:rsidRPr="00000000" w14:paraId="0000014E">
            <w:pPr>
              <w:jc w:val="center"/>
              <w:rPr>
                <w:rFonts w:ascii="Calibri" w:cs="Calibri" w:eastAsia="Calibri" w:hAnsi="Calibri"/>
                <w:sz w:val="20"/>
                <w:szCs w:val="20"/>
                <w:highlight w:val="white"/>
              </w:rPr>
            </w:pPr>
            <w:r w:rsidDel="00000000" w:rsidR="00000000" w:rsidRPr="00000000">
              <w:rPr>
                <w:rFonts w:ascii="Calibri" w:cs="Calibri" w:eastAsia="Calibri" w:hAnsi="Calibri"/>
                <w:b w:val="1"/>
                <w:sz w:val="20"/>
                <w:szCs w:val="20"/>
                <w:rtl w:val="0"/>
              </w:rPr>
              <w:t xml:space="preserve">% of total contract ceiling for the Services (total Value of the Service)</w:t>
            </w:r>
            <w:r w:rsidDel="00000000" w:rsidR="00000000" w:rsidRPr="00000000">
              <w:rPr>
                <w:rtl w:val="0"/>
              </w:rPr>
            </w:r>
          </w:p>
        </w:tc>
      </w:tr>
      <w:tr>
        <w:trPr>
          <w:cantSplit w:val="0"/>
          <w:trHeight w:val="447" w:hRule="atLeast"/>
          <w:tblHeader w:val="0"/>
        </w:trPr>
        <w:tc>
          <w:tcPr/>
          <w:p w:rsidR="00000000" w:rsidDel="00000000" w:rsidP="00000000" w:rsidRDefault="00000000" w:rsidRPr="00000000" w14:paraId="0000014F">
            <w:pPr>
              <w:spacing w:after="0" w:before="0" w:line="276" w:lineRule="auto"/>
              <w:jc w:val="center"/>
              <w:rPr>
                <w:rFonts w:ascii="Calibri" w:cs="Calibri" w:eastAsia="Calibri" w:hAnsi="Calibri"/>
                <w:sz w:val="20"/>
                <w:szCs w:val="20"/>
                <w:highlight w:val="white"/>
              </w:rPr>
            </w:pPr>
            <w:r w:rsidDel="00000000" w:rsidR="00000000" w:rsidRPr="00000000">
              <w:rPr>
                <w:rFonts w:ascii="Calibri" w:cs="Calibri" w:eastAsia="Calibri" w:hAnsi="Calibri"/>
                <w:sz w:val="20"/>
                <w:szCs w:val="20"/>
                <w:rtl w:val="0"/>
              </w:rPr>
              <w:t xml:space="preserve">R1</w:t>
            </w:r>
            <w:r w:rsidDel="00000000" w:rsidR="00000000" w:rsidRPr="00000000">
              <w:rPr>
                <w:rtl w:val="0"/>
              </w:rPr>
            </w:r>
          </w:p>
        </w:tc>
        <w:tc>
          <w:tcPr>
            <w:vAlign w:val="center"/>
          </w:tcPr>
          <w:p w:rsidR="00000000" w:rsidDel="00000000" w:rsidP="00000000" w:rsidRDefault="00000000" w:rsidRPr="00000000" w14:paraId="00000150">
            <w:pPr>
              <w:spacing w:after="0" w:before="0" w:line="276" w:lineRule="auto"/>
              <w:jc w:val="center"/>
              <w:rPr>
                <w:rFonts w:ascii="Calibri" w:cs="Calibri" w:eastAsia="Calibri" w:hAnsi="Calibri"/>
                <w:sz w:val="20"/>
                <w:szCs w:val="20"/>
                <w:highlight w:val="white"/>
              </w:rPr>
            </w:pPr>
            <w:r w:rsidDel="00000000" w:rsidR="00000000" w:rsidRPr="00000000">
              <w:rPr>
                <w:rFonts w:ascii="Calibri" w:cs="Calibri" w:eastAsia="Calibri" w:hAnsi="Calibri"/>
                <w:color w:val="000000"/>
                <w:sz w:val="20"/>
                <w:szCs w:val="20"/>
                <w:rtl w:val="0"/>
              </w:rPr>
              <w:t xml:space="preserve">30%</w:t>
            </w:r>
            <w:r w:rsidDel="00000000" w:rsidR="00000000" w:rsidRPr="00000000">
              <w:rPr>
                <w:rtl w:val="0"/>
              </w:rPr>
            </w:r>
          </w:p>
        </w:tc>
      </w:tr>
      <w:tr>
        <w:trPr>
          <w:cantSplit w:val="0"/>
          <w:tblHeader w:val="0"/>
        </w:trPr>
        <w:tc>
          <w:tcPr/>
          <w:p w:rsidR="00000000" w:rsidDel="00000000" w:rsidP="00000000" w:rsidRDefault="00000000" w:rsidRPr="00000000" w14:paraId="00000151">
            <w:pPr>
              <w:spacing w:after="0" w:before="0" w:line="276" w:lineRule="auto"/>
              <w:jc w:val="center"/>
              <w:rPr>
                <w:rFonts w:ascii="Calibri" w:cs="Calibri" w:eastAsia="Calibri" w:hAnsi="Calibri"/>
                <w:sz w:val="20"/>
                <w:szCs w:val="20"/>
                <w:highlight w:val="white"/>
              </w:rPr>
            </w:pPr>
            <w:r w:rsidDel="00000000" w:rsidR="00000000" w:rsidRPr="00000000">
              <w:rPr>
                <w:rFonts w:ascii="Calibri" w:cs="Calibri" w:eastAsia="Calibri" w:hAnsi="Calibri"/>
                <w:sz w:val="20"/>
                <w:szCs w:val="20"/>
                <w:rtl w:val="0"/>
              </w:rPr>
              <w:t xml:space="preserve">R2</w:t>
            </w:r>
            <w:r w:rsidDel="00000000" w:rsidR="00000000" w:rsidRPr="00000000">
              <w:rPr>
                <w:rtl w:val="0"/>
              </w:rPr>
            </w:r>
          </w:p>
        </w:tc>
        <w:tc>
          <w:tcPr>
            <w:vAlign w:val="center"/>
          </w:tcPr>
          <w:p w:rsidR="00000000" w:rsidDel="00000000" w:rsidP="00000000" w:rsidRDefault="00000000" w:rsidRPr="00000000" w14:paraId="00000152">
            <w:pPr>
              <w:spacing w:after="0" w:before="0" w:line="276" w:lineRule="auto"/>
              <w:jc w:val="center"/>
              <w:rPr>
                <w:rFonts w:ascii="Calibri" w:cs="Calibri" w:eastAsia="Calibri" w:hAnsi="Calibri"/>
                <w:sz w:val="20"/>
                <w:szCs w:val="20"/>
                <w:highlight w:val="white"/>
              </w:rPr>
            </w:pPr>
            <w:r w:rsidDel="00000000" w:rsidR="00000000" w:rsidRPr="00000000">
              <w:rPr>
                <w:rFonts w:ascii="Calibri" w:cs="Calibri" w:eastAsia="Calibri" w:hAnsi="Calibri"/>
                <w:color w:val="000000"/>
                <w:sz w:val="20"/>
                <w:szCs w:val="20"/>
                <w:rtl w:val="0"/>
              </w:rPr>
              <w:t xml:space="preserve">30%</w:t>
            </w:r>
            <w:r w:rsidDel="00000000" w:rsidR="00000000" w:rsidRPr="00000000">
              <w:rPr>
                <w:rtl w:val="0"/>
              </w:rPr>
            </w:r>
          </w:p>
        </w:tc>
      </w:tr>
      <w:tr>
        <w:trPr>
          <w:cantSplit w:val="0"/>
          <w:tblHeader w:val="0"/>
        </w:trPr>
        <w:tc>
          <w:tcPr/>
          <w:p w:rsidR="00000000" w:rsidDel="00000000" w:rsidP="00000000" w:rsidRDefault="00000000" w:rsidRPr="00000000" w14:paraId="00000153">
            <w:pPr>
              <w:spacing w:after="0" w:before="0" w:line="276" w:lineRule="auto"/>
              <w:jc w:val="center"/>
              <w:rPr>
                <w:rFonts w:ascii="Calibri" w:cs="Calibri" w:eastAsia="Calibri" w:hAnsi="Calibri"/>
                <w:sz w:val="20"/>
                <w:szCs w:val="20"/>
                <w:highlight w:val="white"/>
              </w:rPr>
            </w:pPr>
            <w:r w:rsidDel="00000000" w:rsidR="00000000" w:rsidRPr="00000000">
              <w:rPr>
                <w:rFonts w:ascii="Calibri" w:cs="Calibri" w:eastAsia="Calibri" w:hAnsi="Calibri"/>
                <w:sz w:val="20"/>
                <w:szCs w:val="20"/>
                <w:rtl w:val="0"/>
              </w:rPr>
              <w:t xml:space="preserve">R3</w:t>
            </w:r>
            <w:r w:rsidDel="00000000" w:rsidR="00000000" w:rsidRPr="00000000">
              <w:rPr>
                <w:rtl w:val="0"/>
              </w:rPr>
            </w:r>
          </w:p>
        </w:tc>
        <w:tc>
          <w:tcPr>
            <w:vAlign w:val="center"/>
          </w:tcPr>
          <w:p w:rsidR="00000000" w:rsidDel="00000000" w:rsidP="00000000" w:rsidRDefault="00000000" w:rsidRPr="00000000" w14:paraId="00000154">
            <w:pPr>
              <w:spacing w:after="0" w:before="0" w:line="276" w:lineRule="auto"/>
              <w:jc w:val="center"/>
              <w:rPr>
                <w:rFonts w:ascii="Calibri" w:cs="Calibri" w:eastAsia="Calibri" w:hAnsi="Calibri"/>
                <w:sz w:val="20"/>
                <w:szCs w:val="20"/>
                <w:highlight w:val="white"/>
              </w:rPr>
            </w:pPr>
            <w:r w:rsidDel="00000000" w:rsidR="00000000" w:rsidRPr="00000000">
              <w:rPr>
                <w:rFonts w:ascii="Calibri" w:cs="Calibri" w:eastAsia="Calibri" w:hAnsi="Calibri"/>
                <w:color w:val="000000"/>
                <w:sz w:val="20"/>
                <w:szCs w:val="20"/>
                <w:rtl w:val="0"/>
              </w:rPr>
              <w:t xml:space="preserve">15%</w:t>
            </w:r>
            <w:r w:rsidDel="00000000" w:rsidR="00000000" w:rsidRPr="00000000">
              <w:rPr>
                <w:rtl w:val="0"/>
              </w:rPr>
            </w:r>
          </w:p>
        </w:tc>
      </w:tr>
      <w:tr>
        <w:trPr>
          <w:cantSplit w:val="0"/>
          <w:tblHeader w:val="0"/>
        </w:trPr>
        <w:tc>
          <w:tcPr/>
          <w:p w:rsidR="00000000" w:rsidDel="00000000" w:rsidP="00000000" w:rsidRDefault="00000000" w:rsidRPr="00000000" w14:paraId="00000155">
            <w:pPr>
              <w:spacing w:after="0" w:before="0" w:line="276" w:lineRule="auto"/>
              <w:jc w:val="center"/>
              <w:rPr>
                <w:rFonts w:ascii="Calibri" w:cs="Calibri" w:eastAsia="Calibri" w:hAnsi="Calibri"/>
                <w:sz w:val="20"/>
                <w:szCs w:val="20"/>
                <w:highlight w:val="white"/>
              </w:rPr>
            </w:pPr>
            <w:r w:rsidDel="00000000" w:rsidR="00000000" w:rsidRPr="00000000">
              <w:rPr>
                <w:rFonts w:ascii="Calibri" w:cs="Calibri" w:eastAsia="Calibri" w:hAnsi="Calibri"/>
                <w:sz w:val="20"/>
                <w:szCs w:val="20"/>
                <w:rtl w:val="0"/>
              </w:rPr>
              <w:t xml:space="preserve">R4</w:t>
            </w:r>
            <w:r w:rsidDel="00000000" w:rsidR="00000000" w:rsidRPr="00000000">
              <w:rPr>
                <w:rtl w:val="0"/>
              </w:rPr>
            </w:r>
          </w:p>
        </w:tc>
        <w:tc>
          <w:tcPr>
            <w:vAlign w:val="center"/>
          </w:tcPr>
          <w:p w:rsidR="00000000" w:rsidDel="00000000" w:rsidP="00000000" w:rsidRDefault="00000000" w:rsidRPr="00000000" w14:paraId="00000156">
            <w:pPr>
              <w:spacing w:after="0" w:before="0" w:line="276" w:lineRule="auto"/>
              <w:jc w:val="center"/>
              <w:rPr>
                <w:rFonts w:ascii="Calibri" w:cs="Calibri" w:eastAsia="Calibri" w:hAnsi="Calibri"/>
                <w:sz w:val="20"/>
                <w:szCs w:val="20"/>
                <w:highlight w:val="white"/>
              </w:rPr>
            </w:pPr>
            <w:r w:rsidDel="00000000" w:rsidR="00000000" w:rsidRPr="00000000">
              <w:rPr>
                <w:rFonts w:ascii="Calibri" w:cs="Calibri" w:eastAsia="Calibri" w:hAnsi="Calibri"/>
                <w:color w:val="000000"/>
                <w:sz w:val="20"/>
                <w:szCs w:val="20"/>
                <w:rtl w:val="0"/>
              </w:rPr>
              <w:t xml:space="preserve">25%</w:t>
            </w:r>
            <w:r w:rsidDel="00000000" w:rsidR="00000000" w:rsidRPr="00000000">
              <w:rPr>
                <w:rtl w:val="0"/>
              </w:rPr>
            </w:r>
          </w:p>
        </w:tc>
      </w:tr>
      <w:tr>
        <w:trPr>
          <w:cantSplit w:val="0"/>
          <w:trHeight w:val="186" w:hRule="atLeast"/>
          <w:tblHeader w:val="0"/>
        </w:trPr>
        <w:tc>
          <w:tcPr/>
          <w:p w:rsidR="00000000" w:rsidDel="00000000" w:rsidP="00000000" w:rsidRDefault="00000000" w:rsidRPr="00000000" w14:paraId="00000157">
            <w:pPr>
              <w:spacing w:after="0" w:before="0" w:line="276"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Sub-Total</w:t>
            </w:r>
          </w:p>
        </w:tc>
        <w:tc>
          <w:tcPr/>
          <w:p w:rsidR="00000000" w:rsidDel="00000000" w:rsidP="00000000" w:rsidRDefault="00000000" w:rsidRPr="00000000" w14:paraId="00000158">
            <w:pPr>
              <w:spacing w:after="0" w:before="0" w:line="276"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100%</w:t>
            </w:r>
          </w:p>
        </w:tc>
      </w:tr>
    </w:tbl>
    <w:p w:rsidR="00000000" w:rsidDel="00000000" w:rsidP="00000000" w:rsidRDefault="00000000" w:rsidRPr="00000000" w14:paraId="00000159">
      <w:pPr>
        <w:spacing w:line="276" w:lineRule="auto"/>
        <w:jc w:val="both"/>
        <w:rPr/>
      </w:pPr>
      <w:r w:rsidDel="00000000" w:rsidR="00000000" w:rsidRPr="00000000">
        <w:rPr>
          <w:sz w:val="24"/>
          <w:szCs w:val="24"/>
          <w:rtl w:val="0"/>
        </w:rPr>
        <w:t xml:space="preserve">Payment will be affected following the performance of services, submission of deliverables, and acceptance of services performed.</w:t>
      </w:r>
      <w:r w:rsidDel="00000000" w:rsidR="00000000" w:rsidRPr="00000000">
        <w:rPr>
          <w:rtl w:val="0"/>
        </w:rPr>
      </w:r>
    </w:p>
    <w:p w:rsidR="00000000" w:rsidDel="00000000" w:rsidP="00000000" w:rsidRDefault="00000000" w:rsidRPr="00000000" w14:paraId="0000015A">
      <w:pPr>
        <w:pStyle w:val="Heading1"/>
        <w:numPr>
          <w:ilvl w:val="0"/>
          <w:numId w:val="11"/>
        </w:numPr>
        <w:spacing w:line="276" w:lineRule="auto"/>
        <w:ind w:left="720" w:hanging="360"/>
        <w:rPr>
          <w:sz w:val="24"/>
          <w:szCs w:val="24"/>
        </w:rPr>
      </w:pPr>
      <w:bookmarkStart w:colFirst="0" w:colLast="0" w:name="_heading=h.1ksv4uv" w:id="15"/>
      <w:bookmarkEnd w:id="15"/>
      <w:r w:rsidDel="00000000" w:rsidR="00000000" w:rsidRPr="00000000">
        <w:rPr>
          <w:sz w:val="24"/>
          <w:szCs w:val="24"/>
          <w:rtl w:val="0"/>
        </w:rPr>
        <w:t xml:space="preserve">Costing Requirements</w:t>
      </w:r>
    </w:p>
    <w:p w:rsidR="00000000" w:rsidDel="00000000" w:rsidP="00000000" w:rsidRDefault="00000000" w:rsidRPr="00000000" w14:paraId="0000015B">
      <w:pPr>
        <w:spacing w:line="276" w:lineRule="auto"/>
        <w:jc w:val="both"/>
        <w:rPr>
          <w:sz w:val="24"/>
          <w:szCs w:val="24"/>
        </w:rPr>
      </w:pPr>
      <w:r w:rsidDel="00000000" w:rsidR="00000000" w:rsidRPr="00000000">
        <w:rPr>
          <w:sz w:val="24"/>
          <w:szCs w:val="24"/>
          <w:rtl w:val="0"/>
        </w:rPr>
        <w:t xml:space="preserve">The assignment is for up to 35 expert days, including 31 days at the home base and up to 4 days for travel to Akhmeta Municipality (in case of a request from MEPA). The bidder is required to calculate expenses for one trip to Akhmeta Municipality separately, including daily allowance, accommodation expenses, and local travel.</w:t>
      </w:r>
    </w:p>
    <w:p w:rsidR="00000000" w:rsidDel="00000000" w:rsidP="00000000" w:rsidRDefault="00000000" w:rsidRPr="00000000" w14:paraId="0000015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240" w:line="276" w:lineRule="auto"/>
        <w:ind w:left="720" w:right="0" w:hanging="360"/>
        <w:jc w:val="both"/>
        <w:rPr>
          <w:rFonts w:ascii="Calibri" w:cs="Calibri" w:eastAsia="Calibri" w:hAnsi="Calibri"/>
          <w:b w:val="0"/>
          <w:i w:val="0"/>
          <w:smallCaps w:val="0"/>
          <w:strike w:val="0"/>
          <w:color w:val="000000"/>
          <w:sz w:val="24"/>
          <w:szCs w:val="24"/>
          <w:highlight w:val="white"/>
          <w:u w:val="none"/>
          <w:vertAlign w:val="baselin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The offer shall be submitted in English.</w:t>
      </w:r>
    </w:p>
    <w:p w:rsidR="00000000" w:rsidDel="00000000" w:rsidP="00000000" w:rsidRDefault="00000000" w:rsidRPr="00000000" w14:paraId="0000015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4"/>
          <w:szCs w:val="24"/>
          <w:highlight w:val="white"/>
          <w:u w:val="none"/>
          <w:vertAlign w:val="baselin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Offers submitted after the submission deadline will not be considered. Bids must be submitted in GEL, bids in other currencies will not be accepted.</w:t>
      </w:r>
    </w:p>
    <w:p w:rsidR="00000000" w:rsidDel="00000000" w:rsidP="00000000" w:rsidRDefault="00000000" w:rsidRPr="00000000" w14:paraId="0000015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4"/>
          <w:szCs w:val="24"/>
          <w:highlight w:val="white"/>
          <w:u w:val="none"/>
          <w:vertAlign w:val="baselin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Please consider that the offered price should not include VAT, and this should be indicated in the offer.</w:t>
      </w:r>
    </w:p>
    <w:p w:rsidR="00000000" w:rsidDel="00000000" w:rsidP="00000000" w:rsidRDefault="00000000" w:rsidRPr="00000000" w14:paraId="0000015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240" w:before="0" w:line="276" w:lineRule="auto"/>
        <w:ind w:left="720" w:right="0" w:hanging="360"/>
        <w:jc w:val="both"/>
        <w:rPr>
          <w:rFonts w:ascii="Calibri" w:cs="Calibri" w:eastAsia="Calibri" w:hAnsi="Calibri"/>
          <w:b w:val="0"/>
          <w:i w:val="0"/>
          <w:smallCaps w:val="0"/>
          <w:strike w:val="0"/>
          <w:color w:val="000000"/>
          <w:sz w:val="24"/>
          <w:szCs w:val="24"/>
          <w:highlight w:val="white"/>
          <w:u w:val="none"/>
          <w:vertAlign w:val="baseline"/>
        </w:rPr>
      </w:pPr>
      <w:bookmarkStart w:colFirst="0" w:colLast="0" w:name="_heading=h.44sinio" w:id="16"/>
      <w:bookmarkEnd w:id="16"/>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Please submit the price according to </w:t>
      </w:r>
      <w:r w:rsidDel="00000000" w:rsidR="00000000" w:rsidRPr="00000000">
        <w:rPr>
          <w:rFonts w:ascii="Calibri" w:cs="Calibri" w:eastAsia="Calibri" w:hAnsi="Calibri"/>
          <w:b w:val="1"/>
          <w:i w:val="0"/>
          <w:smallCaps w:val="0"/>
          <w:strike w:val="0"/>
          <w:color w:val="000000"/>
          <w:sz w:val="24"/>
          <w:szCs w:val="24"/>
          <w:highlight w:val="white"/>
          <w:u w:val="none"/>
          <w:vertAlign w:val="baseline"/>
          <w:rtl w:val="0"/>
        </w:rPr>
        <w:t xml:space="preserve">Annex 2. </w:t>
      </w:r>
      <w:r w:rsidDel="00000000" w:rsidR="00000000" w:rsidRPr="00000000">
        <w:rPr>
          <w:rtl w:val="0"/>
        </w:rPr>
      </w:r>
    </w:p>
    <w:p w:rsidR="00000000" w:rsidDel="00000000" w:rsidP="00000000" w:rsidRDefault="00000000" w:rsidRPr="00000000" w14:paraId="00000160">
      <w:pPr>
        <w:spacing w:line="276" w:lineRule="auto"/>
        <w:jc w:val="both"/>
        <w:rPr>
          <w:sz w:val="24"/>
          <w:szCs w:val="24"/>
          <w:highlight w:val="white"/>
        </w:rPr>
      </w:pPr>
      <w:r w:rsidDel="00000000" w:rsidR="00000000" w:rsidRPr="00000000">
        <w:rPr>
          <w:rtl w:val="0"/>
        </w:rPr>
      </w:r>
    </w:p>
    <w:p w:rsidR="00000000" w:rsidDel="00000000" w:rsidP="00000000" w:rsidRDefault="00000000" w:rsidRPr="00000000" w14:paraId="00000161">
      <w:pPr>
        <w:pStyle w:val="Heading1"/>
        <w:numPr>
          <w:ilvl w:val="0"/>
          <w:numId w:val="11"/>
        </w:numPr>
        <w:spacing w:line="276" w:lineRule="auto"/>
        <w:ind w:left="720" w:hanging="360"/>
        <w:rPr>
          <w:sz w:val="24"/>
          <w:szCs w:val="24"/>
        </w:rPr>
      </w:pPr>
      <w:bookmarkStart w:colFirst="0" w:colLast="0" w:name="_heading=h.2jxsxqh" w:id="17"/>
      <w:bookmarkEnd w:id="17"/>
      <w:r w:rsidDel="00000000" w:rsidR="00000000" w:rsidRPr="00000000">
        <w:rPr>
          <w:sz w:val="24"/>
          <w:szCs w:val="24"/>
          <w:rtl w:val="0"/>
        </w:rPr>
        <w:t xml:space="preserve">Reporting</w:t>
      </w:r>
    </w:p>
    <w:p w:rsidR="00000000" w:rsidDel="00000000" w:rsidP="00000000" w:rsidRDefault="00000000" w:rsidRPr="00000000" w14:paraId="00000162">
      <w:pPr>
        <w:spacing w:line="276" w:lineRule="auto"/>
        <w:jc w:val="both"/>
        <w:rPr>
          <w:sz w:val="24"/>
          <w:szCs w:val="24"/>
        </w:rPr>
      </w:pPr>
      <w:r w:rsidDel="00000000" w:rsidR="00000000" w:rsidRPr="00000000">
        <w:rPr>
          <w:sz w:val="24"/>
          <w:szCs w:val="24"/>
          <w:rtl w:val="0"/>
        </w:rPr>
        <w:t xml:space="preserve">The service provider shall report directly to the Executive Director of REC Caucasus. Consultant shall provide regular updates on the progress of assigned tasks and projects to the National Coordinator of the project “Biosphere Reserves as Model Regions for Sustainable Development – Capacity Development for Coordinated and Effective Management of the Three Alazani Rivers Biosphere Reserve in Georgia”.</w:t>
      </w:r>
    </w:p>
    <w:p w:rsidR="00000000" w:rsidDel="00000000" w:rsidP="00000000" w:rsidRDefault="00000000" w:rsidRPr="00000000" w14:paraId="00000163">
      <w:pPr>
        <w:pStyle w:val="Heading1"/>
        <w:numPr>
          <w:ilvl w:val="0"/>
          <w:numId w:val="11"/>
        </w:numPr>
        <w:spacing w:line="276" w:lineRule="auto"/>
        <w:ind w:left="720" w:hanging="360"/>
        <w:rPr>
          <w:sz w:val="24"/>
          <w:szCs w:val="24"/>
        </w:rPr>
      </w:pPr>
      <w:bookmarkStart w:colFirst="0" w:colLast="0" w:name="_heading=h.z337ya" w:id="18"/>
      <w:bookmarkEnd w:id="18"/>
      <w:r w:rsidDel="00000000" w:rsidR="00000000" w:rsidRPr="00000000">
        <w:rPr>
          <w:sz w:val="24"/>
          <w:szCs w:val="24"/>
          <w:rtl w:val="0"/>
        </w:rPr>
        <w:t xml:space="preserve">Input from REC Caucasus and Other Actors</w:t>
      </w:r>
    </w:p>
    <w:p w:rsidR="00000000" w:rsidDel="00000000" w:rsidP="00000000" w:rsidRDefault="00000000" w:rsidRPr="00000000" w14:paraId="00000164">
      <w:pPr>
        <w:spacing w:line="276" w:lineRule="auto"/>
        <w:jc w:val="both"/>
        <w:rPr>
          <w:sz w:val="24"/>
          <w:szCs w:val="24"/>
        </w:rPr>
      </w:pPr>
      <w:r w:rsidDel="00000000" w:rsidR="00000000" w:rsidRPr="00000000">
        <w:rPr>
          <w:sz w:val="24"/>
          <w:szCs w:val="24"/>
          <w:rtl w:val="0"/>
        </w:rPr>
        <w:t xml:space="preserve">All deliverables will be developed in cooperation with the Biodiversity and Forestry Department of MEPA, GIZ, the Succow Foundation, and the National Coordinator of REC Caucasus. The National Coordinator of the project will support the fulfillment of tasks by the consultant as follows: </w:t>
      </w:r>
    </w:p>
    <w:p w:rsidR="00000000" w:rsidDel="00000000" w:rsidP="00000000" w:rsidRDefault="00000000" w:rsidRPr="00000000" w14:paraId="0000016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24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Overall coordination with the MEPA and other stakeholders;</w:t>
      </w:r>
    </w:p>
    <w:p w:rsidR="00000000" w:rsidDel="00000000" w:rsidP="00000000" w:rsidRDefault="00000000" w:rsidRPr="00000000" w14:paraId="0000016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Logistical support for meetings/workshops;</w:t>
      </w:r>
    </w:p>
    <w:p w:rsidR="00000000" w:rsidDel="00000000" w:rsidP="00000000" w:rsidRDefault="00000000" w:rsidRPr="00000000" w14:paraId="0000016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Provision of relevant documents and further information (written or oral) to the consultant;</w:t>
      </w:r>
    </w:p>
    <w:p w:rsidR="00000000" w:rsidDel="00000000" w:rsidP="00000000" w:rsidRDefault="00000000" w:rsidRPr="00000000" w14:paraId="0000016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Review and timely feedback </w:t>
      </w:r>
      <w:r w:rsidDel="00000000" w:rsidR="00000000" w:rsidRPr="00000000">
        <w:rPr>
          <w:sz w:val="24"/>
          <w:szCs w:val="24"/>
          <w:rtl w:val="0"/>
        </w:rPr>
        <w:t xml:space="preserve">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the materials provided by the consultant;</w:t>
      </w:r>
    </w:p>
    <w:p w:rsidR="00000000" w:rsidDel="00000000" w:rsidP="00000000" w:rsidRDefault="00000000" w:rsidRPr="00000000" w14:paraId="0000016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24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Regular calls and a lean steering structure will be agreed</w:t>
      </w:r>
      <w:r w:rsidDel="00000000" w:rsidR="00000000" w:rsidRPr="00000000">
        <w:rPr>
          <w:sz w:val="24"/>
          <w:szCs w:val="24"/>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the course of the inception phase of the assignment. </w:t>
      </w:r>
    </w:p>
    <w:p w:rsidR="00000000" w:rsidDel="00000000" w:rsidP="00000000" w:rsidRDefault="00000000" w:rsidRPr="00000000" w14:paraId="0000016A">
      <w:pPr>
        <w:pStyle w:val="Heading1"/>
        <w:numPr>
          <w:ilvl w:val="0"/>
          <w:numId w:val="11"/>
        </w:numPr>
        <w:spacing w:line="276" w:lineRule="auto"/>
        <w:ind w:left="720" w:hanging="360"/>
        <w:rPr>
          <w:sz w:val="24"/>
          <w:szCs w:val="24"/>
        </w:rPr>
      </w:pPr>
      <w:bookmarkStart w:colFirst="0" w:colLast="0" w:name="_heading=h.3j2qqm3" w:id="19"/>
      <w:bookmarkEnd w:id="19"/>
      <w:r w:rsidDel="00000000" w:rsidR="00000000" w:rsidRPr="00000000">
        <w:rPr>
          <w:sz w:val="24"/>
          <w:szCs w:val="24"/>
          <w:rtl w:val="0"/>
        </w:rPr>
        <w:t xml:space="preserve">Requirements on the Format of the Bid</w:t>
      </w:r>
    </w:p>
    <w:p w:rsidR="00000000" w:rsidDel="00000000" w:rsidP="00000000" w:rsidRDefault="00000000" w:rsidRPr="00000000" w14:paraId="0000016B">
      <w:pPr>
        <w:spacing w:line="276" w:lineRule="auto"/>
        <w:ind w:left="360" w:firstLine="0"/>
        <w:jc w:val="both"/>
        <w:rPr>
          <w:sz w:val="24"/>
          <w:szCs w:val="24"/>
        </w:rPr>
      </w:pPr>
      <w:r w:rsidDel="00000000" w:rsidR="00000000" w:rsidRPr="00000000">
        <w:rPr>
          <w:sz w:val="24"/>
          <w:szCs w:val="24"/>
          <w:rtl w:val="0"/>
        </w:rPr>
        <w:t xml:space="preserve">This bid is for individual consultants (not for companies). Please submit your proposal (technical and price proposal) in separate files to natia.tskhovrebadze@rec-caucasus.org no later than 29th March 2024.</w:t>
      </w:r>
    </w:p>
    <w:p w:rsidR="00000000" w:rsidDel="00000000" w:rsidP="00000000" w:rsidRDefault="00000000" w:rsidRPr="00000000" w14:paraId="0000016C">
      <w:pPr>
        <w:spacing w:line="276" w:lineRule="auto"/>
        <w:ind w:left="360" w:firstLine="0"/>
        <w:jc w:val="both"/>
        <w:rPr>
          <w:sz w:val="24"/>
          <w:szCs w:val="24"/>
        </w:rPr>
      </w:pPr>
      <w:r w:rsidDel="00000000" w:rsidR="00000000" w:rsidRPr="00000000">
        <w:rPr>
          <w:sz w:val="24"/>
          <w:szCs w:val="24"/>
          <w:rtl w:val="0"/>
        </w:rPr>
        <w:t xml:space="preserve">The structure of the bid (technical Offer) must correspond to the structure of the Terms of Reference (ToRs). The complete bid shall not exceed 10 pages (excluding CV). The CV must clearly show the position and job the proposed person held in the reference project and for how long. The CV must be submitted in English </w:t>
      </w:r>
      <w:r w:rsidDel="00000000" w:rsidR="00000000" w:rsidRPr="00000000">
        <w:rPr>
          <w:b w:val="1"/>
          <w:sz w:val="24"/>
          <w:szCs w:val="24"/>
          <w:rtl w:val="0"/>
        </w:rPr>
        <w:t xml:space="preserve">(Annex 3)</w:t>
      </w:r>
      <w:r w:rsidDel="00000000" w:rsidR="00000000" w:rsidRPr="00000000">
        <w:rPr>
          <w:sz w:val="24"/>
          <w:szCs w:val="24"/>
          <w:rtl w:val="0"/>
        </w:rPr>
        <w:t xml:space="preserve">. </w:t>
      </w:r>
    </w:p>
    <w:p w:rsidR="00000000" w:rsidDel="00000000" w:rsidP="00000000" w:rsidRDefault="00000000" w:rsidRPr="00000000" w14:paraId="0000016D">
      <w:pPr>
        <w:spacing w:line="276" w:lineRule="auto"/>
        <w:ind w:left="360" w:firstLine="0"/>
        <w:jc w:val="both"/>
        <w:rPr>
          <w:sz w:val="24"/>
          <w:szCs w:val="24"/>
        </w:rPr>
      </w:pPr>
      <w:r w:rsidDel="00000000" w:rsidR="00000000" w:rsidRPr="00000000">
        <w:rPr>
          <w:sz w:val="24"/>
          <w:szCs w:val="24"/>
          <w:rtl w:val="0"/>
        </w:rPr>
        <w:t xml:space="preserve">Please do not mention any price in your technical proposal. The specifications for pricing are defined in the price schedule </w:t>
      </w:r>
      <w:r w:rsidDel="00000000" w:rsidR="00000000" w:rsidRPr="00000000">
        <w:rPr>
          <w:b w:val="1"/>
          <w:sz w:val="24"/>
          <w:szCs w:val="24"/>
          <w:rtl w:val="0"/>
        </w:rPr>
        <w:t xml:space="preserve">(Annex 2)</w:t>
      </w:r>
      <w:r w:rsidDel="00000000" w:rsidR="00000000" w:rsidRPr="00000000">
        <w:rPr>
          <w:sz w:val="24"/>
          <w:szCs w:val="24"/>
          <w:rtl w:val="0"/>
        </w:rPr>
        <w:t xml:space="preserve">. The price proposal shall be submitted in GEL, excluding VAT. Please be informed that the number of days/travel/workshops and the budget amount shall be agreed upon in the contract as 'up to' amounts.</w:t>
      </w:r>
    </w:p>
    <w:p w:rsidR="00000000" w:rsidDel="00000000" w:rsidP="00000000" w:rsidRDefault="00000000" w:rsidRPr="00000000" w14:paraId="0000016E">
      <w:pPr>
        <w:spacing w:line="276" w:lineRule="auto"/>
        <w:ind w:left="360" w:firstLine="0"/>
        <w:jc w:val="both"/>
        <w:rPr>
          <w:sz w:val="24"/>
          <w:szCs w:val="24"/>
        </w:rPr>
      </w:pPr>
      <w:bookmarkStart w:colFirst="0" w:colLast="0" w:name="_heading=h.1y810tw" w:id="20"/>
      <w:bookmarkEnd w:id="20"/>
      <w:r w:rsidDel="00000000" w:rsidR="00000000" w:rsidRPr="00000000">
        <w:rPr>
          <w:sz w:val="24"/>
          <w:szCs w:val="24"/>
          <w:rtl w:val="0"/>
        </w:rPr>
        <w:t xml:space="preserve">Bidders must strictly avoid conflicts with other assignments or their interests. The bids will be evaluated according to </w:t>
      </w:r>
      <w:r w:rsidDel="00000000" w:rsidR="00000000" w:rsidRPr="00000000">
        <w:rPr>
          <w:b w:val="1"/>
          <w:sz w:val="24"/>
          <w:szCs w:val="24"/>
          <w:rtl w:val="0"/>
        </w:rPr>
        <w:t xml:space="preserve">Annex 4</w:t>
      </w:r>
      <w:r w:rsidDel="00000000" w:rsidR="00000000" w:rsidRPr="00000000">
        <w:rPr>
          <w:sz w:val="24"/>
          <w:szCs w:val="24"/>
          <w:rtl w:val="0"/>
        </w:rPr>
        <w:t xml:space="preserve"> - Award criteria. Failure to comply with the above-mentioned requirements may lead to your bid being disqualified.</w:t>
      </w:r>
    </w:p>
    <w:sectPr>
      <w:type w:val="nextPage"/>
      <w:pgSz w:h="16838" w:w="11906" w:orient="portrait"/>
      <w:pgMar w:bottom="993" w:top="1974" w:left="1440" w:right="1440" w:header="380"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Noto Sans Symbols">
    <w:embedRegular w:fontKey="{00000000-0000-0000-0000-000000000000}" r:id="rId1" w:subsetted="0"/>
    <w:embedBold w:fontKey="{00000000-0000-0000-0000-000000000000}" r:id="rId2"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6F">
      <w:pPr>
        <w:ind w:hanging="2"/>
        <w:jc w:val="both"/>
        <w:rPr/>
      </w:pPr>
      <w:r w:rsidDel="00000000" w:rsidR="00000000" w:rsidRPr="00000000">
        <w:rPr>
          <w:rStyle w:val="FootnoteReference"/>
          <w:vertAlign w:val="superscript"/>
        </w:rPr>
        <w:footnoteRef/>
      </w:r>
      <w:r w:rsidDel="00000000" w:rsidR="00000000" w:rsidRPr="00000000">
        <w:rPr>
          <w:rtl w:val="0"/>
        </w:rPr>
        <w:t xml:space="preserve"> In certain areas, the border traverses the state borders of Georgia. Border control is conducted by the border police of the Ministry of Internal Affairs. </w:t>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ootnote>
  <w:footnote w:id="1">
    <w:p w:rsidR="00000000" w:rsidDel="00000000" w:rsidP="00000000" w:rsidRDefault="00000000" w:rsidRPr="00000000" w14:paraId="00000171">
      <w:pPr>
        <w:pBdr>
          <w:top w:space="0" w:sz="0" w:val="nil"/>
          <w:left w:space="0" w:sz="0" w:val="nil"/>
          <w:bottom w:space="0" w:sz="0" w:val="nil"/>
          <w:right w:space="0" w:sz="0" w:val="nil"/>
          <w:between w:space="0" w:sz="0" w:val="nil"/>
        </w:pBdr>
        <w:spacing w:after="100" w:lineRule="auto"/>
        <w:ind w:hanging="2"/>
        <w:rPr>
          <w:rFonts w:ascii="Arial" w:cs="Arial" w:eastAsia="Arial" w:hAnsi="Arial"/>
          <w:color w:val="000000"/>
          <w:sz w:val="18"/>
          <w:szCs w:val="18"/>
        </w:rPr>
      </w:pPr>
      <w:r w:rsidDel="00000000" w:rsidR="00000000" w:rsidRPr="00000000">
        <w:rPr>
          <w:rStyle w:val="FootnoteReference"/>
          <w:vertAlign w:val="superscript"/>
        </w:rPr>
        <w:footnoteRef/>
      </w:r>
      <w:r w:rsidDel="00000000" w:rsidR="00000000" w:rsidRPr="00000000">
        <w:rPr>
          <w:rFonts w:ascii="Arial" w:cs="Arial" w:eastAsia="Arial" w:hAnsi="Arial"/>
          <w:color w:val="000000"/>
          <w:sz w:val="18"/>
          <w:szCs w:val="18"/>
          <w:rtl w:val="0"/>
        </w:rPr>
        <w:t xml:space="preserve"> Georgian Law on the State Border of Georgia (1998). </w:t>
      </w:r>
      <w:hyperlink r:id="rId1">
        <w:r w:rsidDel="00000000" w:rsidR="00000000" w:rsidRPr="00000000">
          <w:rPr>
            <w:rFonts w:ascii="Arial" w:cs="Arial" w:eastAsia="Arial" w:hAnsi="Arial"/>
            <w:color w:val="0000ff"/>
            <w:sz w:val="18"/>
            <w:szCs w:val="18"/>
            <w:u w:val="single"/>
            <w:rtl w:val="0"/>
          </w:rPr>
          <w:t xml:space="preserve">https://matsne.gov.ge/ka/document/view/31966?publication=33</w:t>
        </w:r>
      </w:hyperlink>
      <w:r w:rsidDel="00000000" w:rsidR="00000000" w:rsidRPr="00000000">
        <w:rPr>
          <w:rtl w:val="0"/>
        </w:rPr>
      </w:r>
    </w:p>
  </w:footnote>
  <w:footnote w:id="2">
    <w:p w:rsidR="00000000" w:rsidDel="00000000" w:rsidP="00000000" w:rsidRDefault="00000000" w:rsidRPr="00000000" w14:paraId="00000172">
      <w:pPr>
        <w:ind w:hanging="2"/>
        <w:jc w:val="both"/>
        <w:rPr>
          <w:rFonts w:ascii="Arial" w:cs="Arial" w:eastAsia="Arial" w:hAnsi="Arial"/>
          <w:sz w:val="18"/>
          <w:szCs w:val="18"/>
        </w:rPr>
      </w:pPr>
      <w:r w:rsidDel="00000000" w:rsidR="00000000" w:rsidRPr="00000000">
        <w:rPr>
          <w:rStyle w:val="FootnoteReference"/>
          <w:vertAlign w:val="superscript"/>
        </w:rPr>
        <w:footnoteRef/>
      </w:r>
      <w:r w:rsidDel="00000000" w:rsidR="00000000" w:rsidRPr="00000000">
        <w:rPr>
          <w:rFonts w:ascii="Arial" w:cs="Arial" w:eastAsia="Arial" w:hAnsi="Arial"/>
          <w:sz w:val="18"/>
          <w:szCs w:val="18"/>
          <w:rtl w:val="0"/>
        </w:rPr>
        <w:t xml:space="preserve"> </w:t>
      </w:r>
      <w:r w:rsidDel="00000000" w:rsidR="00000000" w:rsidRPr="00000000">
        <w:rPr>
          <w:rFonts w:ascii="Arial" w:cs="Arial" w:eastAsia="Arial" w:hAnsi="Arial"/>
          <w:sz w:val="18"/>
          <w:szCs w:val="18"/>
          <w:highlight w:val="white"/>
          <w:rtl w:val="0"/>
        </w:rPr>
        <w:t xml:space="preserve">Akhmeta Municipality Spatial Plan (2019) /</w:t>
      </w:r>
      <w:r w:rsidDel="00000000" w:rsidR="00000000" w:rsidRPr="00000000">
        <w:rPr>
          <w:rFonts w:ascii="Arial" w:cs="Arial" w:eastAsia="Arial" w:hAnsi="Arial"/>
          <w:sz w:val="18"/>
          <w:szCs w:val="18"/>
          <w:rtl w:val="0"/>
        </w:rPr>
        <w:t xml:space="preserve"> Decree of the Akhmeta Municipal Council No.21 of December 24, 2019 on the Adoption of the Spatial Development Plan of the Akhmeta Municipality” (Official Gazette of Georgia) Legislative Herald of Georgia - LHG, </w:t>
      </w:r>
      <w:r w:rsidDel="00000000" w:rsidR="00000000" w:rsidRPr="00000000">
        <w:rPr>
          <w:rFonts w:ascii="Arial" w:cs="Arial" w:eastAsia="Arial" w:hAnsi="Arial"/>
          <w:i w:val="1"/>
          <w:sz w:val="18"/>
          <w:szCs w:val="18"/>
          <w:rtl w:val="0"/>
        </w:rPr>
        <w:t xml:space="preserve">matsne.gov.ge</w:t>
      </w:r>
      <w:r w:rsidDel="00000000" w:rsidR="00000000" w:rsidRPr="00000000">
        <w:rPr>
          <w:rFonts w:ascii="Arial" w:cs="Arial" w:eastAsia="Arial" w:hAnsi="Arial"/>
          <w:sz w:val="18"/>
          <w:szCs w:val="18"/>
          <w:rtl w:val="0"/>
        </w:rPr>
        <w:t xml:space="preserve">, </w:t>
      </w:r>
      <w:r w:rsidDel="00000000" w:rsidR="00000000" w:rsidRPr="00000000">
        <w:rPr>
          <w:rFonts w:ascii="Arial" w:cs="Arial" w:eastAsia="Arial" w:hAnsi="Arial"/>
          <w:sz w:val="18"/>
          <w:szCs w:val="18"/>
          <w:highlight w:val="white"/>
          <w:rtl w:val="0"/>
        </w:rPr>
        <w:t xml:space="preserve">Registration No. 010250050.35.162.016507</w:t>
      </w:r>
      <w:r w:rsidDel="00000000" w:rsidR="00000000" w:rsidRPr="00000000">
        <w:rPr>
          <w:rFonts w:ascii="Arial" w:cs="Arial" w:eastAsia="Arial" w:hAnsi="Arial"/>
          <w:sz w:val="18"/>
          <w:szCs w:val="18"/>
          <w:rtl w:val="0"/>
        </w:rPr>
        <w:t xml:space="preserve">, Publication Date: 30.12.2019) </w:t>
      </w:r>
      <w:r w:rsidDel="00000000" w:rsidR="00000000" w:rsidRPr="00000000">
        <w:rPr>
          <w:rFonts w:ascii="Arial" w:cs="Arial" w:eastAsia="Arial" w:hAnsi="Arial"/>
          <w:i w:val="1"/>
          <w:sz w:val="18"/>
          <w:szCs w:val="18"/>
          <w:rtl w:val="0"/>
        </w:rPr>
        <w:t xml:space="preserve">- </w:t>
      </w:r>
      <w:r w:rsidDel="00000000" w:rsidR="00000000" w:rsidRPr="00000000">
        <w:rPr>
          <w:rFonts w:ascii="Arial" w:cs="Arial" w:eastAsia="Arial" w:hAnsi="Arial"/>
          <w:sz w:val="18"/>
          <w:szCs w:val="18"/>
          <w:rtl w:val="0"/>
        </w:rPr>
        <w:t xml:space="preserve">[</w:t>
      </w:r>
      <w:r w:rsidDel="00000000" w:rsidR="00000000" w:rsidRPr="00000000">
        <w:rPr>
          <w:rFonts w:ascii="Arial" w:cs="Arial" w:eastAsia="Arial" w:hAnsi="Arial"/>
          <w:i w:val="1"/>
          <w:sz w:val="18"/>
          <w:szCs w:val="18"/>
          <w:rtl w:val="0"/>
        </w:rPr>
        <w:t xml:space="preserve">Georgian Version</w:t>
      </w:r>
      <w:r w:rsidDel="00000000" w:rsidR="00000000" w:rsidRPr="00000000">
        <w:rPr>
          <w:rFonts w:ascii="Arial" w:cs="Arial" w:eastAsia="Arial" w:hAnsi="Arial"/>
          <w:sz w:val="18"/>
          <w:szCs w:val="18"/>
          <w:rtl w:val="0"/>
        </w:rPr>
        <w:t xml:space="preserve">] </w:t>
      </w:r>
      <w:r w:rsidDel="00000000" w:rsidR="00000000" w:rsidRPr="00000000">
        <w:rPr>
          <w:rFonts w:ascii="Arial" w:cs="Arial" w:eastAsia="Arial" w:hAnsi="Arial"/>
          <w:i w:val="1"/>
          <w:sz w:val="18"/>
          <w:szCs w:val="18"/>
          <w:rtl w:val="0"/>
        </w:rPr>
        <w:t xml:space="preserve">  </w:t>
      </w:r>
      <w:r w:rsidDel="00000000" w:rsidR="00000000" w:rsidRPr="00000000">
        <w:rPr>
          <w:rtl w:val="0"/>
        </w:rPr>
      </w:r>
    </w:p>
    <w:p w:rsidR="00000000" w:rsidDel="00000000" w:rsidP="00000000" w:rsidRDefault="00000000" w:rsidRPr="00000000" w14:paraId="00000173">
      <w:pPr>
        <w:ind w:hanging="2"/>
        <w:jc w:val="both"/>
        <w:rPr>
          <w:rFonts w:ascii="Arial" w:cs="Arial" w:eastAsia="Arial" w:hAnsi="Arial"/>
          <w:sz w:val="18"/>
          <w:szCs w:val="18"/>
        </w:rPr>
      </w:pPr>
      <w:hyperlink r:id="rId2">
        <w:r w:rsidDel="00000000" w:rsidR="00000000" w:rsidRPr="00000000">
          <w:rPr>
            <w:rFonts w:ascii="Arial" w:cs="Arial" w:eastAsia="Arial" w:hAnsi="Arial"/>
            <w:color w:val="0000ff"/>
            <w:sz w:val="18"/>
            <w:szCs w:val="18"/>
            <w:u w:val="single"/>
            <w:rtl w:val="0"/>
          </w:rPr>
          <w:t xml:space="preserve">https://matsne.gov.ge/ka/document/view/4744404?publication=0</w:t>
        </w:r>
      </w:hyperlink>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240" w:before="2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203200</wp:posOffset>
              </wp:positionV>
              <wp:extent cx="6437630" cy="788670"/>
              <wp:effectExtent b="0" l="0" r="0" t="0"/>
              <wp:wrapNone/>
              <wp:docPr id="1809925283" name=""/>
              <a:graphic>
                <a:graphicData uri="http://schemas.microsoft.com/office/word/2010/wordprocessingGroup">
                  <wpg:wgp>
                    <wpg:cNvGrpSpPr/>
                    <wpg:grpSpPr>
                      <a:xfrm>
                        <a:off x="2127175" y="3385650"/>
                        <a:ext cx="6437630" cy="788670"/>
                        <a:chOff x="2127175" y="3385650"/>
                        <a:chExt cx="6437650" cy="788700"/>
                      </a:xfrm>
                    </wpg:grpSpPr>
                    <wpg:grpSp>
                      <wpg:cNvGrpSpPr/>
                      <wpg:grpSpPr>
                        <a:xfrm>
                          <a:off x="2127185" y="3385665"/>
                          <a:ext cx="6437630" cy="788670"/>
                          <a:chOff x="0" y="0"/>
                          <a:chExt cx="6437902" cy="788670"/>
                        </a:xfrm>
                      </wpg:grpSpPr>
                      <wps:wsp>
                        <wps:cNvSpPr/>
                        <wps:cNvPr id="3" name="Shape 3"/>
                        <wps:spPr>
                          <a:xfrm>
                            <a:off x="0" y="0"/>
                            <a:ext cx="6437900" cy="788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 name="Shape 4"/>
                          <pic:cNvPicPr preferRelativeResize="0"/>
                        </pic:nvPicPr>
                        <pic:blipFill rotWithShape="1">
                          <a:blip r:embed="rId1">
                            <a:alphaModFix/>
                          </a:blip>
                          <a:srcRect b="0" l="0" r="0" t="0"/>
                          <a:stretch/>
                        </pic:blipFill>
                        <pic:spPr>
                          <a:xfrm>
                            <a:off x="2100943" y="87086"/>
                            <a:ext cx="1572895" cy="652145"/>
                          </a:xfrm>
                          <a:prstGeom prst="rect">
                            <a:avLst/>
                          </a:prstGeom>
                          <a:noFill/>
                          <a:ln>
                            <a:noFill/>
                          </a:ln>
                        </pic:spPr>
                      </pic:pic>
                      <pic:pic>
                        <pic:nvPicPr>
                          <pic:cNvPr id="5" name="Shape 5"/>
                          <pic:cNvPicPr preferRelativeResize="0"/>
                        </pic:nvPicPr>
                        <pic:blipFill rotWithShape="1">
                          <a:blip r:embed="rId2">
                            <a:alphaModFix/>
                          </a:blip>
                          <a:srcRect b="0" l="0" r="0" t="0"/>
                          <a:stretch/>
                        </pic:blipFill>
                        <pic:spPr>
                          <a:xfrm>
                            <a:off x="3820886" y="10886"/>
                            <a:ext cx="749935" cy="749300"/>
                          </a:xfrm>
                          <a:prstGeom prst="rect">
                            <a:avLst/>
                          </a:prstGeom>
                          <a:noFill/>
                          <a:ln>
                            <a:noFill/>
                          </a:ln>
                        </pic:spPr>
                      </pic:pic>
                      <pic:pic>
                        <pic:nvPicPr>
                          <pic:cNvPr id="6" name="Shape 6"/>
                          <pic:cNvPicPr preferRelativeResize="0"/>
                        </pic:nvPicPr>
                        <pic:blipFill rotWithShape="1">
                          <a:blip r:embed="rId3">
                            <a:alphaModFix/>
                          </a:blip>
                          <a:srcRect b="0" l="0" r="0" t="0"/>
                          <a:stretch/>
                        </pic:blipFill>
                        <pic:spPr>
                          <a:xfrm>
                            <a:off x="0" y="76200"/>
                            <a:ext cx="2043430" cy="712470"/>
                          </a:xfrm>
                          <a:prstGeom prst="rect">
                            <a:avLst/>
                          </a:prstGeom>
                          <a:noFill/>
                          <a:ln>
                            <a:noFill/>
                          </a:ln>
                        </pic:spPr>
                      </pic:pic>
                      <pic:pic>
                        <pic:nvPicPr>
                          <pic:cNvPr descr="The Regional Environmental Centre for the Caucasus (REC ..." id="7" name="Shape 7"/>
                          <pic:cNvPicPr preferRelativeResize="0"/>
                        </pic:nvPicPr>
                        <pic:blipFill rotWithShape="1">
                          <a:blip r:embed="rId4">
                            <a:alphaModFix/>
                          </a:blip>
                          <a:srcRect b="0" l="0" r="0" t="0"/>
                          <a:stretch/>
                        </pic:blipFill>
                        <pic:spPr>
                          <a:xfrm>
                            <a:off x="5671457" y="0"/>
                            <a:ext cx="766445" cy="766445"/>
                          </a:xfrm>
                          <a:prstGeom prst="rect">
                            <a:avLst/>
                          </a:prstGeom>
                          <a:noFill/>
                          <a:ln>
                            <a:noFill/>
                          </a:ln>
                        </pic:spPr>
                      </pic:pic>
                      <pic:pic>
                        <pic:nvPicPr>
                          <pic:cNvPr id="8" name="Shape 8"/>
                          <pic:cNvPicPr preferRelativeResize="0"/>
                        </pic:nvPicPr>
                        <pic:blipFill rotWithShape="1">
                          <a:blip r:embed="rId5">
                            <a:alphaModFix/>
                          </a:blip>
                          <a:srcRect b="0" l="0" r="0" t="0"/>
                          <a:stretch/>
                        </pic:blipFill>
                        <pic:spPr>
                          <a:xfrm>
                            <a:off x="4855028" y="43543"/>
                            <a:ext cx="718185" cy="718185"/>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203200</wp:posOffset>
              </wp:positionV>
              <wp:extent cx="6437630" cy="788670"/>
              <wp:effectExtent b="0" l="0" r="0" t="0"/>
              <wp:wrapNone/>
              <wp:docPr id="1809925283" name="image3.png"/>
              <a:graphic>
                <a:graphicData uri="http://schemas.openxmlformats.org/drawingml/2006/picture">
                  <pic:pic>
                    <pic:nvPicPr>
                      <pic:cNvPr id="0" name="image3.png"/>
                      <pic:cNvPicPr preferRelativeResize="0"/>
                    </pic:nvPicPr>
                    <pic:blipFill>
                      <a:blip r:embed="rId6"/>
                      <a:srcRect/>
                      <a:stretch>
                        <a:fillRect/>
                      </a:stretch>
                    </pic:blipFill>
                    <pic:spPr>
                      <a:xfrm>
                        <a:off x="0" y="0"/>
                        <a:ext cx="6437630" cy="788670"/>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108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2"/>
      <w:numFmt w:val="decimal"/>
      <w:lvlText w:val="%1.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2" w:hanging="360"/>
      </w:pPr>
      <w:rPr>
        <w:rFonts w:ascii="Noto Sans Symbols" w:cs="Noto Sans Symbols" w:eastAsia="Noto Sans Symbols" w:hAnsi="Noto Sans Symbols"/>
      </w:rPr>
    </w:lvl>
    <w:lvl w:ilvl="1">
      <w:start w:val="1"/>
      <w:numFmt w:val="bullet"/>
      <w:lvlText w:val="o"/>
      <w:lvlJc w:val="left"/>
      <w:pPr>
        <w:ind w:left="1442" w:hanging="360"/>
      </w:pPr>
      <w:rPr>
        <w:rFonts w:ascii="Courier New" w:cs="Courier New" w:eastAsia="Courier New" w:hAnsi="Courier New"/>
      </w:rPr>
    </w:lvl>
    <w:lvl w:ilvl="2">
      <w:start w:val="1"/>
      <w:numFmt w:val="bullet"/>
      <w:lvlText w:val="▪"/>
      <w:lvlJc w:val="left"/>
      <w:pPr>
        <w:ind w:left="2162" w:hanging="360"/>
      </w:pPr>
      <w:rPr>
        <w:rFonts w:ascii="Noto Sans Symbols" w:cs="Noto Sans Symbols" w:eastAsia="Noto Sans Symbols" w:hAnsi="Noto Sans Symbols"/>
      </w:rPr>
    </w:lvl>
    <w:lvl w:ilvl="3">
      <w:start w:val="1"/>
      <w:numFmt w:val="bullet"/>
      <w:lvlText w:val="●"/>
      <w:lvlJc w:val="left"/>
      <w:pPr>
        <w:ind w:left="2882" w:hanging="360"/>
      </w:pPr>
      <w:rPr>
        <w:rFonts w:ascii="Noto Sans Symbols" w:cs="Noto Sans Symbols" w:eastAsia="Noto Sans Symbols" w:hAnsi="Noto Sans Symbols"/>
      </w:rPr>
    </w:lvl>
    <w:lvl w:ilvl="4">
      <w:start w:val="1"/>
      <w:numFmt w:val="bullet"/>
      <w:lvlText w:val="o"/>
      <w:lvlJc w:val="left"/>
      <w:pPr>
        <w:ind w:left="3602" w:hanging="360"/>
      </w:pPr>
      <w:rPr>
        <w:rFonts w:ascii="Courier New" w:cs="Courier New" w:eastAsia="Courier New" w:hAnsi="Courier New"/>
      </w:rPr>
    </w:lvl>
    <w:lvl w:ilvl="5">
      <w:start w:val="1"/>
      <w:numFmt w:val="bullet"/>
      <w:lvlText w:val="▪"/>
      <w:lvlJc w:val="left"/>
      <w:pPr>
        <w:ind w:left="4322" w:hanging="360"/>
      </w:pPr>
      <w:rPr>
        <w:rFonts w:ascii="Noto Sans Symbols" w:cs="Noto Sans Symbols" w:eastAsia="Noto Sans Symbols" w:hAnsi="Noto Sans Symbols"/>
      </w:rPr>
    </w:lvl>
    <w:lvl w:ilvl="6">
      <w:start w:val="1"/>
      <w:numFmt w:val="bullet"/>
      <w:lvlText w:val="●"/>
      <w:lvlJc w:val="left"/>
      <w:pPr>
        <w:ind w:left="5042" w:hanging="360"/>
      </w:pPr>
      <w:rPr>
        <w:rFonts w:ascii="Noto Sans Symbols" w:cs="Noto Sans Symbols" w:eastAsia="Noto Sans Symbols" w:hAnsi="Noto Sans Symbols"/>
      </w:rPr>
    </w:lvl>
    <w:lvl w:ilvl="7">
      <w:start w:val="1"/>
      <w:numFmt w:val="bullet"/>
      <w:lvlText w:val="o"/>
      <w:lvlJc w:val="left"/>
      <w:pPr>
        <w:ind w:left="5762" w:hanging="360"/>
      </w:pPr>
      <w:rPr>
        <w:rFonts w:ascii="Courier New" w:cs="Courier New" w:eastAsia="Courier New" w:hAnsi="Courier New"/>
      </w:rPr>
    </w:lvl>
    <w:lvl w:ilvl="8">
      <w:start w:val="1"/>
      <w:numFmt w:val="bullet"/>
      <w:lvlText w:val="▪"/>
      <w:lvlJc w:val="left"/>
      <w:pPr>
        <w:ind w:left="6482" w:hanging="360"/>
      </w:pPr>
      <w:rPr>
        <w:rFonts w:ascii="Noto Sans Symbols" w:cs="Noto Sans Symbols" w:eastAsia="Noto Sans Symbols" w:hAnsi="Noto Sans Symbols"/>
      </w:rPr>
    </w:lvl>
  </w:abstractNum>
  <w:abstractNum w:abstractNumId="5">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18" w:hanging="360"/>
      </w:pPr>
      <w:rPr>
        <w:rFonts w:ascii="Noto Sans Symbols" w:cs="Noto Sans Symbols" w:eastAsia="Noto Sans Symbols" w:hAnsi="Noto Sans Symbols"/>
      </w:rPr>
    </w:lvl>
    <w:lvl w:ilvl="1">
      <w:start w:val="0"/>
      <w:numFmt w:val="bullet"/>
      <w:lvlText w:val="-"/>
      <w:lvlJc w:val="left"/>
      <w:pPr>
        <w:ind w:left="1438" w:hanging="360"/>
      </w:pPr>
      <w:rPr>
        <w:rFonts w:ascii="Calibri" w:cs="Calibri" w:eastAsia="Calibri" w:hAnsi="Calibri"/>
      </w:rPr>
    </w:lvl>
    <w:lvl w:ilvl="2">
      <w:start w:val="1"/>
      <w:numFmt w:val="bullet"/>
      <w:lvlText w:val="▪"/>
      <w:lvlJc w:val="left"/>
      <w:pPr>
        <w:ind w:left="2158" w:hanging="360"/>
      </w:pPr>
      <w:rPr>
        <w:rFonts w:ascii="Noto Sans Symbols" w:cs="Noto Sans Symbols" w:eastAsia="Noto Sans Symbols" w:hAnsi="Noto Sans Symbols"/>
      </w:rPr>
    </w:lvl>
    <w:lvl w:ilvl="3">
      <w:start w:val="1"/>
      <w:numFmt w:val="bullet"/>
      <w:lvlText w:val="●"/>
      <w:lvlJc w:val="left"/>
      <w:pPr>
        <w:ind w:left="2878" w:hanging="360"/>
      </w:pPr>
      <w:rPr>
        <w:rFonts w:ascii="Noto Sans Symbols" w:cs="Noto Sans Symbols" w:eastAsia="Noto Sans Symbols" w:hAnsi="Noto Sans Symbols"/>
      </w:rPr>
    </w:lvl>
    <w:lvl w:ilvl="4">
      <w:start w:val="1"/>
      <w:numFmt w:val="bullet"/>
      <w:lvlText w:val="o"/>
      <w:lvlJc w:val="left"/>
      <w:pPr>
        <w:ind w:left="3598" w:hanging="360"/>
      </w:pPr>
      <w:rPr>
        <w:rFonts w:ascii="Courier New" w:cs="Courier New" w:eastAsia="Courier New" w:hAnsi="Courier New"/>
      </w:rPr>
    </w:lvl>
    <w:lvl w:ilvl="5">
      <w:start w:val="1"/>
      <w:numFmt w:val="bullet"/>
      <w:lvlText w:val="▪"/>
      <w:lvlJc w:val="left"/>
      <w:pPr>
        <w:ind w:left="4318" w:hanging="360"/>
      </w:pPr>
      <w:rPr>
        <w:rFonts w:ascii="Noto Sans Symbols" w:cs="Noto Sans Symbols" w:eastAsia="Noto Sans Symbols" w:hAnsi="Noto Sans Symbols"/>
      </w:rPr>
    </w:lvl>
    <w:lvl w:ilvl="6">
      <w:start w:val="1"/>
      <w:numFmt w:val="bullet"/>
      <w:lvlText w:val="●"/>
      <w:lvlJc w:val="left"/>
      <w:pPr>
        <w:ind w:left="5038" w:hanging="360"/>
      </w:pPr>
      <w:rPr>
        <w:rFonts w:ascii="Noto Sans Symbols" w:cs="Noto Sans Symbols" w:eastAsia="Noto Sans Symbols" w:hAnsi="Noto Sans Symbols"/>
      </w:rPr>
    </w:lvl>
    <w:lvl w:ilvl="7">
      <w:start w:val="1"/>
      <w:numFmt w:val="bullet"/>
      <w:lvlText w:val="o"/>
      <w:lvlJc w:val="left"/>
      <w:pPr>
        <w:ind w:left="5758" w:hanging="360"/>
      </w:pPr>
      <w:rPr>
        <w:rFonts w:ascii="Courier New" w:cs="Courier New" w:eastAsia="Courier New" w:hAnsi="Courier New"/>
      </w:rPr>
    </w:lvl>
    <w:lvl w:ilvl="8">
      <w:start w:val="1"/>
      <w:numFmt w:val="bullet"/>
      <w:lvlText w:val="▪"/>
      <w:lvlJc w:val="left"/>
      <w:pPr>
        <w:ind w:left="6478"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40" w:before="24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360" w:lineRule="auto"/>
      <w:ind w:left="720" w:hanging="360"/>
    </w:pPr>
    <w:rPr>
      <w:b w:val="1"/>
      <w:color w:val="000000"/>
    </w:rPr>
  </w:style>
  <w:style w:type="paragraph" w:styleId="Heading2">
    <w:name w:val="heading 2"/>
    <w:basedOn w:val="Normal"/>
    <w:next w:val="Normal"/>
    <w:pPr>
      <w:keepNext w:val="1"/>
      <w:keepLines w:val="1"/>
      <w:spacing w:after="120" w:before="160" w:lineRule="auto"/>
      <w:ind w:left="720" w:hanging="360"/>
    </w:pPr>
    <w:rPr>
      <w:b w:val="1"/>
      <w:color w:val="000000"/>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940ADF"/>
    <w:pPr>
      <w:spacing w:after="240" w:before="240"/>
    </w:pPr>
    <w:rPr>
      <w:sz w:val="22"/>
      <w:lang w:val="en-US"/>
    </w:rPr>
  </w:style>
  <w:style w:type="paragraph" w:styleId="Heading1">
    <w:name w:val="heading 1"/>
    <w:basedOn w:val="Normal"/>
    <w:next w:val="Normal"/>
    <w:link w:val="Heading1Char"/>
    <w:uiPriority w:val="9"/>
    <w:qFormat w:val="1"/>
    <w:rsid w:val="00DF0EC8"/>
    <w:pPr>
      <w:keepNext w:val="1"/>
      <w:keepLines w:val="1"/>
      <w:numPr>
        <w:numId w:val="2"/>
      </w:numPr>
      <w:spacing w:before="360"/>
      <w:outlineLvl w:val="0"/>
    </w:pPr>
    <w:rPr>
      <w:rFonts w:cstheme="majorBidi" w:eastAsiaTheme="majorEastAsia"/>
      <w:b w:val="1"/>
      <w:color w:val="000000" w:themeColor="text1"/>
      <w:szCs w:val="32"/>
    </w:rPr>
  </w:style>
  <w:style w:type="paragraph" w:styleId="Heading2">
    <w:name w:val="heading 2"/>
    <w:basedOn w:val="Normal"/>
    <w:next w:val="Normal"/>
    <w:link w:val="Heading2Char"/>
    <w:autoRedefine w:val="1"/>
    <w:uiPriority w:val="9"/>
    <w:unhideWhenUsed w:val="1"/>
    <w:qFormat w:val="1"/>
    <w:rsid w:val="00476F21"/>
    <w:pPr>
      <w:keepNext w:val="1"/>
      <w:keepLines w:val="1"/>
      <w:numPr>
        <w:numId w:val="7"/>
      </w:numPr>
      <w:spacing w:after="120" w:before="160"/>
      <w:outlineLvl w:val="1"/>
    </w:pPr>
    <w:rPr>
      <w:rFonts w:cstheme="majorBidi" w:eastAsiaTheme="majorEastAsia"/>
      <w:b w:val="1"/>
      <w:color w:val="000000" w:themeColor="text1"/>
      <w:szCs w:val="2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aliases w:val="List Paragraph1,Ha,Bullet1,List Paragraph11,Project Profile name,Paragraphe de liste1,Numbered paragraph,Paragraphe de liste,Medium Grid 1 - Accent 21,List Paragraph (numbered (a)),Numbered List Paragraph,References,ReferencesCxSpLast"/>
    <w:basedOn w:val="Normal"/>
    <w:uiPriority w:val="34"/>
    <w:qFormat w:val="1"/>
    <w:rsid w:val="004B2498"/>
    <w:pPr>
      <w:ind w:left="720"/>
      <w:contextualSpacing w:val="1"/>
    </w:pPr>
  </w:style>
  <w:style w:type="paragraph" w:styleId="Header">
    <w:name w:val="header"/>
    <w:basedOn w:val="Normal"/>
    <w:link w:val="HeaderChar"/>
    <w:uiPriority w:val="99"/>
    <w:unhideWhenUsed w:val="1"/>
    <w:rsid w:val="004B2498"/>
    <w:pPr>
      <w:tabs>
        <w:tab w:val="center" w:pos="4513"/>
        <w:tab w:val="right" w:pos="9026"/>
      </w:tabs>
    </w:pPr>
  </w:style>
  <w:style w:type="character" w:styleId="HeaderChar" w:customStyle="1">
    <w:name w:val="Header Char"/>
    <w:basedOn w:val="DefaultParagraphFont"/>
    <w:link w:val="Header"/>
    <w:uiPriority w:val="99"/>
    <w:rsid w:val="004B2498"/>
    <w:rPr>
      <w:lang w:val="en-US"/>
    </w:rPr>
  </w:style>
  <w:style w:type="paragraph" w:styleId="Footer">
    <w:name w:val="footer"/>
    <w:basedOn w:val="Normal"/>
    <w:link w:val="FooterChar"/>
    <w:uiPriority w:val="99"/>
    <w:unhideWhenUsed w:val="1"/>
    <w:rsid w:val="004B2498"/>
    <w:pPr>
      <w:tabs>
        <w:tab w:val="center" w:pos="4513"/>
        <w:tab w:val="right" w:pos="9026"/>
      </w:tabs>
    </w:pPr>
  </w:style>
  <w:style w:type="character" w:styleId="FooterChar" w:customStyle="1">
    <w:name w:val="Footer Char"/>
    <w:basedOn w:val="DefaultParagraphFont"/>
    <w:link w:val="Footer"/>
    <w:uiPriority w:val="99"/>
    <w:rsid w:val="004B2498"/>
    <w:rPr>
      <w:lang w:val="en-US"/>
    </w:rPr>
  </w:style>
  <w:style w:type="character" w:styleId="CommentReference">
    <w:name w:val="annotation reference"/>
    <w:basedOn w:val="DefaultParagraphFont"/>
    <w:uiPriority w:val="99"/>
    <w:semiHidden w:val="1"/>
    <w:unhideWhenUsed w:val="1"/>
    <w:rsid w:val="0029036B"/>
    <w:rPr>
      <w:sz w:val="16"/>
      <w:szCs w:val="16"/>
    </w:rPr>
  </w:style>
  <w:style w:type="paragraph" w:styleId="CommentText">
    <w:name w:val="annotation text"/>
    <w:basedOn w:val="Normal"/>
    <w:link w:val="CommentTextChar"/>
    <w:uiPriority w:val="99"/>
    <w:semiHidden w:val="1"/>
    <w:unhideWhenUsed w:val="1"/>
    <w:rsid w:val="0029036B"/>
    <w:rPr>
      <w:sz w:val="20"/>
      <w:szCs w:val="20"/>
    </w:rPr>
  </w:style>
  <w:style w:type="character" w:styleId="CommentTextChar" w:customStyle="1">
    <w:name w:val="Comment Text Char"/>
    <w:basedOn w:val="DefaultParagraphFont"/>
    <w:link w:val="CommentText"/>
    <w:uiPriority w:val="99"/>
    <w:semiHidden w:val="1"/>
    <w:rsid w:val="0029036B"/>
    <w:rPr>
      <w:sz w:val="20"/>
      <w:szCs w:val="20"/>
      <w:lang w:val="en-US"/>
    </w:rPr>
  </w:style>
  <w:style w:type="paragraph" w:styleId="CommentSubject">
    <w:name w:val="annotation subject"/>
    <w:basedOn w:val="CommentText"/>
    <w:next w:val="CommentText"/>
    <w:link w:val="CommentSubjectChar"/>
    <w:uiPriority w:val="99"/>
    <w:semiHidden w:val="1"/>
    <w:unhideWhenUsed w:val="1"/>
    <w:rsid w:val="0029036B"/>
    <w:rPr>
      <w:b w:val="1"/>
      <w:bCs w:val="1"/>
    </w:rPr>
  </w:style>
  <w:style w:type="character" w:styleId="CommentSubjectChar" w:customStyle="1">
    <w:name w:val="Comment Subject Char"/>
    <w:basedOn w:val="CommentTextChar"/>
    <w:link w:val="CommentSubject"/>
    <w:uiPriority w:val="99"/>
    <w:semiHidden w:val="1"/>
    <w:rsid w:val="0029036B"/>
    <w:rPr>
      <w:b w:val="1"/>
      <w:bCs w:val="1"/>
      <w:sz w:val="20"/>
      <w:szCs w:val="20"/>
      <w:lang w:val="en-US"/>
    </w:rPr>
  </w:style>
  <w:style w:type="character" w:styleId="Heading1Char" w:customStyle="1">
    <w:name w:val="Heading 1 Char"/>
    <w:basedOn w:val="DefaultParagraphFont"/>
    <w:link w:val="Heading1"/>
    <w:uiPriority w:val="9"/>
    <w:rsid w:val="00DF0EC8"/>
    <w:rPr>
      <w:rFonts w:cstheme="majorBidi" w:eastAsiaTheme="majorEastAsia"/>
      <w:b w:val="1"/>
      <w:color w:val="000000" w:themeColor="text1"/>
      <w:sz w:val="22"/>
      <w:szCs w:val="32"/>
      <w:lang w:val="en-US"/>
    </w:rPr>
  </w:style>
  <w:style w:type="paragraph" w:styleId="FootnoteText">
    <w:name w:val="footnote text"/>
    <w:basedOn w:val="Normal"/>
    <w:link w:val="FootnoteTextChar"/>
    <w:uiPriority w:val="99"/>
    <w:unhideWhenUsed w:val="1"/>
    <w:rsid w:val="00C215B4"/>
    <w:rPr>
      <w:kern w:val="0"/>
      <w:sz w:val="20"/>
      <w:szCs w:val="20"/>
      <w:lang w:val="en-GB"/>
    </w:rPr>
  </w:style>
  <w:style w:type="character" w:styleId="FootnoteTextChar" w:customStyle="1">
    <w:name w:val="Footnote Text Char"/>
    <w:basedOn w:val="DefaultParagraphFont"/>
    <w:link w:val="FootnoteText"/>
    <w:uiPriority w:val="99"/>
    <w:rsid w:val="00C215B4"/>
    <w:rPr>
      <w:kern w:val="0"/>
      <w:sz w:val="20"/>
      <w:szCs w:val="20"/>
      <w:lang w:val="en-GB"/>
    </w:rPr>
  </w:style>
  <w:style w:type="character" w:styleId="FootnoteReference">
    <w:name w:val="footnote reference"/>
    <w:basedOn w:val="DefaultParagraphFont"/>
    <w:unhideWhenUsed w:val="1"/>
    <w:rsid w:val="00C215B4"/>
    <w:rPr>
      <w:vertAlign w:val="superscript"/>
    </w:rPr>
  </w:style>
  <w:style w:type="character" w:styleId="Heading2Char" w:customStyle="1">
    <w:name w:val="Heading 2 Char"/>
    <w:basedOn w:val="DefaultParagraphFont"/>
    <w:link w:val="Heading2"/>
    <w:uiPriority w:val="9"/>
    <w:rsid w:val="00476F21"/>
    <w:rPr>
      <w:rFonts w:cstheme="majorBidi" w:eastAsiaTheme="majorEastAsia"/>
      <w:b w:val="1"/>
      <w:color w:val="000000" w:themeColor="text1"/>
      <w:sz w:val="22"/>
      <w:szCs w:val="26"/>
      <w:lang w:val="en-US"/>
    </w:rPr>
  </w:style>
  <w:style w:type="table" w:styleId="TableGrid">
    <w:name w:val="Table Grid"/>
    <w:basedOn w:val="TableNormal"/>
    <w:uiPriority w:val="39"/>
    <w:rsid w:val="001115D2"/>
    <w:rPr>
      <w:rFonts w:ascii="Arial" w:hAnsi="Arial"/>
      <w:szCs w:val="22"/>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OCHeading">
    <w:name w:val="TOC Heading"/>
    <w:basedOn w:val="Heading1"/>
    <w:next w:val="Normal"/>
    <w:uiPriority w:val="39"/>
    <w:unhideWhenUsed w:val="1"/>
    <w:qFormat w:val="1"/>
    <w:rsid w:val="001115D2"/>
    <w:pPr>
      <w:numPr>
        <w:numId w:val="0"/>
      </w:numPr>
      <w:spacing w:line="259" w:lineRule="auto"/>
      <w:outlineLvl w:val="9"/>
    </w:pPr>
    <w:rPr>
      <w:rFonts w:asciiTheme="majorHAnsi" w:hAnsiTheme="majorHAnsi"/>
      <w:b w:val="0"/>
      <w:color w:val="2f5496" w:themeColor="accent1" w:themeShade="0000BF"/>
      <w:kern w:val="0"/>
      <w:sz w:val="32"/>
    </w:rPr>
  </w:style>
  <w:style w:type="paragraph" w:styleId="TOC1">
    <w:name w:val="toc 1"/>
    <w:basedOn w:val="Normal"/>
    <w:next w:val="Normal"/>
    <w:autoRedefine w:val="1"/>
    <w:uiPriority w:val="39"/>
    <w:unhideWhenUsed w:val="1"/>
    <w:rsid w:val="001115D2"/>
    <w:pPr>
      <w:spacing w:after="100"/>
    </w:pPr>
  </w:style>
  <w:style w:type="paragraph" w:styleId="TOC2">
    <w:name w:val="toc 2"/>
    <w:basedOn w:val="Normal"/>
    <w:next w:val="Normal"/>
    <w:autoRedefine w:val="1"/>
    <w:uiPriority w:val="39"/>
    <w:unhideWhenUsed w:val="1"/>
    <w:rsid w:val="001115D2"/>
    <w:pPr>
      <w:spacing w:after="100"/>
      <w:ind w:left="240"/>
    </w:pPr>
  </w:style>
  <w:style w:type="character" w:styleId="Hyperlink">
    <w:name w:val="Hyperlink"/>
    <w:basedOn w:val="DefaultParagraphFont"/>
    <w:uiPriority w:val="99"/>
    <w:unhideWhenUsed w:val="1"/>
    <w:rsid w:val="001115D2"/>
    <w:rPr>
      <w:color w:val="0563c1" w:themeColor="hyperlink"/>
      <w:u w:val="single"/>
    </w:rPr>
  </w:style>
  <w:style w:type="paragraph" w:styleId="NormalWeb">
    <w:name w:val="Normal (Web)"/>
    <w:basedOn w:val="Normal"/>
    <w:uiPriority w:val="99"/>
    <w:semiHidden w:val="1"/>
    <w:unhideWhenUsed w:val="1"/>
    <w:rsid w:val="00C903BF"/>
    <w:pPr>
      <w:spacing w:after="100" w:afterAutospacing="1" w:before="100" w:beforeAutospacing="1"/>
    </w:pPr>
    <w:rPr>
      <w:rFonts w:ascii="Times New Roman" w:cs="Times New Roman" w:eastAsia="Times New Roman" w:hAnsi="Times New Roman"/>
      <w:kern w:val="0"/>
      <w:sz w:val="24"/>
      <w:lang w:eastAsia="en-GB" w:val="en-GB"/>
    </w:rPr>
  </w:style>
  <w:style w:type="paragraph" w:styleId="Caption">
    <w:name w:val="caption"/>
    <w:basedOn w:val="Normal"/>
    <w:next w:val="Normal"/>
    <w:uiPriority w:val="35"/>
    <w:unhideWhenUsed w:val="1"/>
    <w:qFormat w:val="1"/>
    <w:rsid w:val="00E263C7"/>
    <w:pPr>
      <w:spacing w:after="200" w:before="0"/>
    </w:pPr>
    <w:rPr>
      <w:i w:val="1"/>
      <w:iCs w:val="1"/>
      <w:color w:val="44546a" w:themeColor="text2"/>
      <w:sz w:val="18"/>
      <w:szCs w:val="18"/>
    </w:rPr>
  </w:style>
  <w:style w:type="paragraph" w:styleId="TableofFigures">
    <w:name w:val="table of figures"/>
    <w:basedOn w:val="Normal"/>
    <w:next w:val="Normal"/>
    <w:uiPriority w:val="99"/>
    <w:unhideWhenUsed w:val="1"/>
    <w:rsid w:val="0030333D"/>
    <w:pPr>
      <w:spacing w:after="0"/>
    </w:pPr>
  </w:style>
  <w:style w:type="paragraph" w:styleId="abzacixml" w:customStyle="1">
    <w:name w:val="abzacixml"/>
    <w:basedOn w:val="Normal"/>
    <w:rsid w:val="002B3AFB"/>
    <w:pPr>
      <w:spacing w:after="100" w:afterAutospacing="1" w:before="100" w:beforeAutospacing="1"/>
    </w:pPr>
    <w:rPr>
      <w:rFonts w:ascii="Times New Roman" w:cs="Times New Roman" w:eastAsia="Times New Roman" w:hAnsi="Times New Roman"/>
      <w:kern w:val="0"/>
      <w:sz w:val="24"/>
      <w:lang w:eastAsia="de-DE" w:val="de-DE"/>
    </w:rPr>
  </w:style>
  <w:style w:type="paragraph" w:styleId="Revision">
    <w:name w:val="Revision"/>
    <w:hidden w:val="1"/>
    <w:uiPriority w:val="99"/>
    <w:semiHidden w:val="1"/>
    <w:rsid w:val="002B3AFB"/>
    <w:rPr>
      <w:sz w:val="22"/>
      <w:lang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Arial" w:cs="Arial" w:eastAsia="Arial" w:hAnsi="Arial"/>
    </w:r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rPr>
      <w:rFonts w:ascii="Arial" w:cs="Arial" w:eastAsia="Arial" w:hAnsi="Arial"/>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0" Type="http://schemas.openxmlformats.org/officeDocument/2006/relationships/image" Target="media/image2.png"/><Relationship Id="rId9" Type="http://schemas.openxmlformats.org/officeDocument/2006/relationships/image" Target="media/image1.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notes.xml.rels><?xml version="1.0" encoding="UTF-8" standalone="yes"?><Relationships xmlns="http://schemas.openxmlformats.org/package/2006/relationships"><Relationship Id="rId1" Type="http://schemas.openxmlformats.org/officeDocument/2006/relationships/hyperlink" Target="https://matsne.gov.ge/ka/document/view/31966?publication=33" TargetMode="External"/><Relationship Id="rId2" Type="http://schemas.openxmlformats.org/officeDocument/2006/relationships/hyperlink" Target="https://matsne.gov.ge/ka/document/view/4744404?publica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 Id="rId3" Type="http://schemas.openxmlformats.org/officeDocument/2006/relationships/image" Target="media/image8.png"/><Relationship Id="rId4" Type="http://schemas.openxmlformats.org/officeDocument/2006/relationships/image" Target="media/image6.jpg"/><Relationship Id="rId5" Type="http://schemas.openxmlformats.org/officeDocument/2006/relationships/image" Target="media/image7.jpg"/><Relationship Id="rId6"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0IB/pHjSARVXdZn9JdInITty7w==">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gAciExNmxVNS1hdmZmNG9fMHE4eXBTRXhURVdiVHFYdU14bX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2024-02-16T14:27:00Z</dcterms:created>
  <dc:creator>Forestry</dc:creator>
</cp:coreProperties>
</file>