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5D4" w:rsidRPr="00417610" w:rsidRDefault="002855D4" w:rsidP="002855D4">
      <w:pPr>
        <w:pStyle w:val="NormalWeb"/>
        <w:shd w:val="clear" w:color="auto" w:fill="FFFFFF"/>
        <w:spacing w:before="0" w:beforeAutospacing="0" w:after="0" w:afterAutospacing="0"/>
        <w:jc w:val="right"/>
        <w:rPr>
          <w:rFonts w:ascii="Sylfaen" w:hAnsi="Sylfaen"/>
          <w:b/>
          <w:bCs/>
          <w:i/>
          <w:iCs/>
          <w:sz w:val="18"/>
          <w:szCs w:val="18"/>
          <w:lang w:val="en-US"/>
        </w:rPr>
      </w:pPr>
      <w:r w:rsidRPr="00417610">
        <w:rPr>
          <w:rFonts w:ascii="Sylfaen" w:hAnsi="Sylfaen"/>
          <w:b/>
          <w:i/>
          <w:iCs/>
          <w:sz w:val="18"/>
          <w:szCs w:val="18"/>
          <w:lang w:val="en-US"/>
        </w:rPr>
        <w:t xml:space="preserve">Approved by </w:t>
      </w:r>
      <w:r w:rsidRPr="00417610">
        <w:rPr>
          <w:rFonts w:ascii="Sylfaen" w:hAnsi="Sylfaen"/>
          <w:b/>
          <w:bCs/>
          <w:i/>
          <w:iCs/>
          <w:sz w:val="18"/>
          <w:szCs w:val="18"/>
          <w:lang w:val="en-US"/>
        </w:rPr>
        <w:t xml:space="preserve">Executive Order </w:t>
      </w:r>
    </w:p>
    <w:p w:rsidR="002855D4" w:rsidRPr="00417610" w:rsidRDefault="002855D4" w:rsidP="002855D4">
      <w:pPr>
        <w:pStyle w:val="NormalWeb"/>
        <w:shd w:val="clear" w:color="auto" w:fill="FFFFFF"/>
        <w:spacing w:before="0" w:beforeAutospacing="0" w:after="0" w:afterAutospacing="0"/>
        <w:jc w:val="right"/>
        <w:rPr>
          <w:rFonts w:ascii="Sylfaen" w:hAnsi="Sylfaen"/>
          <w:b/>
          <w:bCs/>
          <w:i/>
          <w:iCs/>
          <w:sz w:val="18"/>
          <w:szCs w:val="18"/>
          <w:lang w:val="en-US"/>
        </w:rPr>
      </w:pPr>
      <w:r w:rsidRPr="00417610">
        <w:rPr>
          <w:rFonts w:ascii="Sylfaen" w:hAnsi="Sylfaen"/>
          <w:b/>
          <w:bCs/>
          <w:i/>
          <w:iCs/>
          <w:sz w:val="18"/>
          <w:szCs w:val="18"/>
          <w:lang w:val="en-US"/>
        </w:rPr>
        <w:t>of the REC Caucasus No.01/07-202</w:t>
      </w:r>
      <w:r w:rsidR="005178AF">
        <w:rPr>
          <w:rFonts w:ascii="Sylfaen" w:hAnsi="Sylfaen"/>
          <w:b/>
          <w:bCs/>
          <w:i/>
          <w:iCs/>
          <w:sz w:val="18"/>
          <w:szCs w:val="18"/>
          <w:lang w:val="en-US"/>
        </w:rPr>
        <w:t>4</w:t>
      </w:r>
      <w:r w:rsidRPr="00417610">
        <w:rPr>
          <w:rFonts w:ascii="Sylfaen" w:hAnsi="Sylfaen"/>
          <w:b/>
          <w:bCs/>
          <w:i/>
          <w:iCs/>
          <w:sz w:val="18"/>
          <w:szCs w:val="18"/>
          <w:lang w:val="en-US"/>
        </w:rPr>
        <w:t xml:space="preserve">-REC Caucasus </w:t>
      </w:r>
    </w:p>
    <w:p w:rsidR="002855D4" w:rsidRPr="00417610" w:rsidRDefault="002855D4" w:rsidP="002855D4">
      <w:pPr>
        <w:pStyle w:val="NormalWeb"/>
        <w:shd w:val="clear" w:color="auto" w:fill="FFFFFF"/>
        <w:spacing w:before="0" w:beforeAutospacing="0" w:after="0" w:afterAutospacing="0"/>
        <w:jc w:val="right"/>
        <w:rPr>
          <w:rFonts w:ascii="Sylfaen" w:hAnsi="Sylfaen"/>
          <w:b/>
          <w:bCs/>
          <w:i/>
          <w:iCs/>
          <w:sz w:val="18"/>
          <w:szCs w:val="18"/>
          <w:lang w:val="en-US"/>
        </w:rPr>
      </w:pPr>
      <w:r w:rsidRPr="00417610">
        <w:rPr>
          <w:rFonts w:ascii="Sylfaen" w:hAnsi="Sylfaen"/>
          <w:b/>
          <w:bCs/>
          <w:i/>
          <w:iCs/>
          <w:sz w:val="18"/>
          <w:szCs w:val="18"/>
          <w:lang w:val="en-US"/>
        </w:rPr>
        <w:t xml:space="preserve">of </w:t>
      </w:r>
      <w:r w:rsidR="005178AF">
        <w:rPr>
          <w:rFonts w:ascii="Sylfaen" w:hAnsi="Sylfaen"/>
          <w:b/>
          <w:bCs/>
          <w:i/>
          <w:iCs/>
          <w:sz w:val="18"/>
          <w:szCs w:val="18"/>
          <w:lang w:val="en-US"/>
        </w:rPr>
        <w:t>February</w:t>
      </w:r>
      <w:r w:rsidRPr="00417610">
        <w:rPr>
          <w:rFonts w:ascii="Sylfaen" w:hAnsi="Sylfaen"/>
          <w:b/>
          <w:bCs/>
          <w:i/>
          <w:iCs/>
          <w:sz w:val="18"/>
          <w:szCs w:val="18"/>
          <w:lang w:val="en-US"/>
        </w:rPr>
        <w:t xml:space="preserve"> </w:t>
      </w:r>
      <w:r w:rsidR="00192248">
        <w:rPr>
          <w:rFonts w:ascii="Sylfaen" w:hAnsi="Sylfaen"/>
          <w:b/>
          <w:bCs/>
          <w:i/>
          <w:iCs/>
          <w:sz w:val="18"/>
          <w:szCs w:val="18"/>
          <w:lang w:val="en-US"/>
        </w:rPr>
        <w:t>12</w:t>
      </w:r>
      <w:bookmarkStart w:id="0" w:name="_GoBack"/>
      <w:bookmarkEnd w:id="0"/>
      <w:r w:rsidRPr="00417610">
        <w:rPr>
          <w:rFonts w:ascii="Sylfaen" w:hAnsi="Sylfaen"/>
          <w:b/>
          <w:bCs/>
          <w:i/>
          <w:iCs/>
          <w:sz w:val="18"/>
          <w:szCs w:val="18"/>
          <w:lang w:val="en-US"/>
        </w:rPr>
        <w:t>, 202</w:t>
      </w:r>
      <w:r w:rsidR="005178AF">
        <w:rPr>
          <w:rFonts w:ascii="Sylfaen" w:hAnsi="Sylfaen"/>
          <w:b/>
          <w:bCs/>
          <w:i/>
          <w:iCs/>
          <w:sz w:val="18"/>
          <w:szCs w:val="18"/>
          <w:lang w:val="en-US"/>
        </w:rPr>
        <w:t>4</w:t>
      </w:r>
    </w:p>
    <w:p w:rsidR="002855D4" w:rsidRPr="00417610" w:rsidRDefault="002855D4" w:rsidP="002855D4">
      <w:pPr>
        <w:pStyle w:val="NormalWeb"/>
        <w:shd w:val="clear" w:color="auto" w:fill="FFFFFF"/>
        <w:spacing w:before="0" w:beforeAutospacing="0" w:after="0" w:afterAutospacing="0"/>
        <w:jc w:val="right"/>
        <w:rPr>
          <w:rFonts w:ascii="Sylfaen" w:hAnsi="Sylfaen"/>
          <w:b/>
          <w:sz w:val="22"/>
          <w:szCs w:val="22"/>
          <w:lang w:val="en-US"/>
        </w:rPr>
      </w:pPr>
    </w:p>
    <w:p w:rsidR="002855D4" w:rsidRPr="00417610" w:rsidRDefault="002855D4" w:rsidP="002855D4">
      <w:pPr>
        <w:pStyle w:val="NormalWeb"/>
        <w:shd w:val="clear" w:color="auto" w:fill="FFFFFF"/>
        <w:spacing w:before="0" w:beforeAutospacing="0" w:after="0" w:afterAutospacing="0"/>
        <w:jc w:val="right"/>
        <w:rPr>
          <w:rFonts w:ascii="Sylfaen" w:hAnsi="Sylfaen"/>
          <w:b/>
          <w:sz w:val="22"/>
          <w:szCs w:val="22"/>
          <w:lang w:val="en-US"/>
        </w:rPr>
      </w:pPr>
    </w:p>
    <w:p w:rsidR="002855D4" w:rsidRPr="00417610" w:rsidRDefault="002855D4" w:rsidP="002855D4">
      <w:pPr>
        <w:pStyle w:val="NormalWeb"/>
        <w:shd w:val="clear" w:color="auto" w:fill="FFFFFF"/>
        <w:spacing w:before="0" w:beforeAutospacing="0" w:after="0" w:afterAutospacing="0"/>
        <w:jc w:val="right"/>
        <w:rPr>
          <w:rFonts w:ascii="Sylfaen" w:hAnsi="Sylfaen"/>
          <w:b/>
          <w:sz w:val="22"/>
          <w:szCs w:val="22"/>
          <w:lang w:val="en-US"/>
        </w:rPr>
      </w:pPr>
    </w:p>
    <w:tbl>
      <w:tblPr>
        <w:tblW w:w="0" w:type="auto"/>
        <w:tblLook w:val="04A0" w:firstRow="1" w:lastRow="0" w:firstColumn="1" w:lastColumn="0" w:noHBand="0" w:noVBand="1"/>
      </w:tblPr>
      <w:tblGrid>
        <w:gridCol w:w="3116"/>
        <w:gridCol w:w="3117"/>
        <w:gridCol w:w="3117"/>
      </w:tblGrid>
      <w:tr w:rsidR="002855D4" w:rsidRPr="00417610" w:rsidTr="00DE0D80">
        <w:trPr>
          <w:trHeight w:val="993"/>
        </w:trPr>
        <w:tc>
          <w:tcPr>
            <w:tcW w:w="3116" w:type="dxa"/>
            <w:shd w:val="clear" w:color="auto" w:fill="auto"/>
          </w:tcPr>
          <w:p w:rsidR="002855D4" w:rsidRPr="00417610" w:rsidRDefault="002855D4" w:rsidP="00DE0D80">
            <w:pPr>
              <w:pStyle w:val="Heading1"/>
              <w:jc w:val="center"/>
              <w:rPr>
                <w:rFonts w:ascii="Sylfaen" w:hAnsi="Sylfaen"/>
                <w:lang w:val="en-US"/>
              </w:rPr>
            </w:pPr>
          </w:p>
        </w:tc>
        <w:tc>
          <w:tcPr>
            <w:tcW w:w="3117" w:type="dxa"/>
            <w:shd w:val="clear" w:color="auto" w:fill="auto"/>
          </w:tcPr>
          <w:p w:rsidR="002855D4" w:rsidRPr="00417610" w:rsidRDefault="002855D4" w:rsidP="00DE0D80">
            <w:pPr>
              <w:pStyle w:val="Heading1"/>
              <w:jc w:val="center"/>
              <w:rPr>
                <w:rFonts w:ascii="Sylfaen" w:hAnsi="Sylfaen"/>
                <w:lang w:val="en-US"/>
              </w:rPr>
            </w:pPr>
          </w:p>
        </w:tc>
        <w:tc>
          <w:tcPr>
            <w:tcW w:w="3117" w:type="dxa"/>
            <w:shd w:val="clear" w:color="auto" w:fill="auto"/>
          </w:tcPr>
          <w:p w:rsidR="002855D4" w:rsidRPr="00417610" w:rsidRDefault="002855D4" w:rsidP="00DE0D80">
            <w:pPr>
              <w:pStyle w:val="Heading1"/>
              <w:rPr>
                <w:rFonts w:ascii="Sylfaen" w:hAnsi="Sylfaen"/>
                <w:lang w:val="en-US"/>
              </w:rPr>
            </w:pPr>
            <w:r w:rsidRPr="00417610">
              <w:rPr>
                <w:rFonts w:ascii="Sylfaen" w:hAnsi="Sylfaen"/>
                <w:noProof/>
              </w:rPr>
              <w:drawing>
                <wp:anchor distT="0" distB="0" distL="114300" distR="114300" simplePos="0" relativeHeight="251659264" behindDoc="0" locked="0" layoutInCell="1" allowOverlap="1">
                  <wp:simplePos x="0" y="0"/>
                  <wp:positionH relativeFrom="column">
                    <wp:posOffset>987425</wp:posOffset>
                  </wp:positionH>
                  <wp:positionV relativeFrom="paragraph">
                    <wp:posOffset>13335</wp:posOffset>
                  </wp:positionV>
                  <wp:extent cx="853440" cy="548640"/>
                  <wp:effectExtent l="0" t="0" r="381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t="2063" r="69357"/>
                          <a:stretch>
                            <a:fillRect/>
                          </a:stretch>
                        </pic:blipFill>
                        <pic:spPr bwMode="auto">
                          <a:xfrm>
                            <a:off x="0" y="0"/>
                            <a:ext cx="853440" cy="5486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855D4" w:rsidRPr="00417610" w:rsidRDefault="002855D4" w:rsidP="002855D4">
      <w:pPr>
        <w:pStyle w:val="Heading1"/>
        <w:spacing w:after="60"/>
        <w:jc w:val="center"/>
        <w:rPr>
          <w:rFonts w:ascii="Sylfaen" w:hAnsi="Sylfaen" w:cs="Calibri"/>
          <w:sz w:val="24"/>
          <w:szCs w:val="24"/>
          <w:lang w:val="en-US"/>
        </w:rPr>
      </w:pPr>
      <w:r w:rsidRPr="00417610">
        <w:rPr>
          <w:rFonts w:ascii="Sylfaen" w:hAnsi="Sylfaen" w:cs="Calibri"/>
          <w:sz w:val="24"/>
          <w:szCs w:val="24"/>
          <w:lang w:val="en-US"/>
        </w:rPr>
        <w:t xml:space="preserve">THE REGIONAL ENVIRONMENTAL CENTRE FOR THE CAUCAUS </w:t>
      </w:r>
    </w:p>
    <w:p w:rsidR="002855D4" w:rsidRPr="00417610" w:rsidRDefault="002855D4" w:rsidP="002855D4">
      <w:pPr>
        <w:rPr>
          <w:rFonts w:ascii="Sylfaen" w:hAnsi="Sylfaen" w:cs="Calibri"/>
          <w:sz w:val="28"/>
          <w:szCs w:val="28"/>
          <w:lang w:val="en-US"/>
        </w:rPr>
      </w:pPr>
    </w:p>
    <w:p w:rsidR="002855D4" w:rsidRPr="00417610" w:rsidRDefault="002855D4" w:rsidP="002855D4">
      <w:pPr>
        <w:pStyle w:val="Heading3"/>
        <w:jc w:val="center"/>
        <w:rPr>
          <w:rFonts w:ascii="Sylfaen" w:hAnsi="Sylfaen" w:cs="Calibri"/>
          <w:sz w:val="28"/>
          <w:szCs w:val="28"/>
          <w:lang w:val="en-US"/>
        </w:rPr>
      </w:pPr>
      <w:r w:rsidRPr="00417610">
        <w:rPr>
          <w:rFonts w:ascii="Sylfaen" w:hAnsi="Sylfaen" w:cs="Calibri"/>
          <w:sz w:val="28"/>
          <w:szCs w:val="28"/>
          <w:lang w:val="en-US"/>
        </w:rPr>
        <w:t>Terms of Reference for Internal Auditor</w:t>
      </w:r>
    </w:p>
    <w:p w:rsidR="00213827" w:rsidRPr="00417610" w:rsidRDefault="00213827">
      <w:pPr>
        <w:rPr>
          <w:rFonts w:ascii="Sylfaen" w:hAnsi="Sylfaen"/>
          <w:lang w:val="en-US"/>
        </w:rPr>
      </w:pPr>
    </w:p>
    <w:tbl>
      <w:tblPr>
        <w:tblW w:w="8833" w:type="dxa"/>
        <w:jc w:val="center"/>
        <w:tblLayout w:type="fixed"/>
        <w:tblCellMar>
          <w:top w:w="14" w:type="dxa"/>
          <w:left w:w="86" w:type="dxa"/>
          <w:bottom w:w="14" w:type="dxa"/>
          <w:right w:w="86" w:type="dxa"/>
        </w:tblCellMar>
        <w:tblLook w:val="04A0" w:firstRow="1" w:lastRow="0" w:firstColumn="1" w:lastColumn="0" w:noHBand="0" w:noVBand="1"/>
      </w:tblPr>
      <w:tblGrid>
        <w:gridCol w:w="1255"/>
        <w:gridCol w:w="450"/>
        <w:gridCol w:w="540"/>
        <w:gridCol w:w="1170"/>
        <w:gridCol w:w="2691"/>
        <w:gridCol w:w="1179"/>
        <w:gridCol w:w="1548"/>
      </w:tblGrid>
      <w:tr w:rsidR="002855D4" w:rsidRPr="00417610" w:rsidTr="00DE0D80">
        <w:trPr>
          <w:trHeight w:val="313"/>
          <w:jc w:val="center"/>
        </w:trPr>
        <w:tc>
          <w:tcPr>
            <w:tcW w:w="1705" w:type="dxa"/>
            <w:gridSpan w:val="2"/>
            <w:tcBorders>
              <w:top w:val="single" w:sz="4" w:space="0" w:color="auto"/>
              <w:left w:val="single" w:sz="4" w:space="0" w:color="auto"/>
              <w:bottom w:val="outset" w:sz="6" w:space="0" w:color="auto"/>
              <w:right w:val="nil"/>
            </w:tcBorders>
            <w:vAlign w:val="center"/>
            <w:hideMark/>
          </w:tcPr>
          <w:p w:rsidR="002855D4" w:rsidRPr="00417610" w:rsidRDefault="002855D4" w:rsidP="00DE0D80">
            <w:pPr>
              <w:rPr>
                <w:rFonts w:ascii="Sylfaen" w:hAnsi="Sylfaen" w:cs="Calibri"/>
                <w:b/>
                <w:szCs w:val="20"/>
              </w:rPr>
            </w:pPr>
            <w:proofErr w:type="spellStart"/>
            <w:r w:rsidRPr="00417610">
              <w:rPr>
                <w:rFonts w:ascii="Sylfaen" w:hAnsi="Sylfaen" w:cs="Calibri"/>
                <w:b/>
                <w:szCs w:val="20"/>
              </w:rPr>
              <w:t>Job</w:t>
            </w:r>
            <w:proofErr w:type="spellEnd"/>
            <w:r w:rsidRPr="00417610">
              <w:rPr>
                <w:rFonts w:ascii="Sylfaen" w:hAnsi="Sylfaen" w:cs="Calibri"/>
                <w:b/>
                <w:szCs w:val="20"/>
              </w:rPr>
              <w:t xml:space="preserve"> </w:t>
            </w:r>
            <w:proofErr w:type="spellStart"/>
            <w:r w:rsidRPr="00417610">
              <w:rPr>
                <w:rFonts w:ascii="Sylfaen" w:hAnsi="Sylfaen" w:cs="Calibri"/>
                <w:b/>
                <w:szCs w:val="20"/>
              </w:rPr>
              <w:t>Title</w:t>
            </w:r>
            <w:proofErr w:type="spellEnd"/>
            <w:r w:rsidRPr="00417610">
              <w:rPr>
                <w:rFonts w:ascii="Sylfaen" w:hAnsi="Sylfaen" w:cs="Calibri"/>
                <w:b/>
                <w:szCs w:val="20"/>
              </w:rPr>
              <w:t>:</w:t>
            </w:r>
          </w:p>
        </w:tc>
        <w:tc>
          <w:tcPr>
            <w:tcW w:w="7128" w:type="dxa"/>
            <w:gridSpan w:val="5"/>
            <w:tcBorders>
              <w:top w:val="single" w:sz="4" w:space="0" w:color="auto"/>
              <w:left w:val="nil"/>
              <w:bottom w:val="outset" w:sz="6" w:space="0" w:color="auto"/>
              <w:right w:val="single" w:sz="4" w:space="0" w:color="auto"/>
            </w:tcBorders>
            <w:vAlign w:val="center"/>
          </w:tcPr>
          <w:p w:rsidR="002855D4" w:rsidRPr="00417610" w:rsidRDefault="002855D4" w:rsidP="00DE0D80">
            <w:pPr>
              <w:rPr>
                <w:rFonts w:ascii="Sylfaen" w:hAnsi="Sylfaen" w:cs="Calibri"/>
                <w:szCs w:val="20"/>
              </w:rPr>
            </w:pPr>
            <w:r w:rsidRPr="00417610">
              <w:rPr>
                <w:rFonts w:ascii="Sylfaen" w:hAnsi="Sylfaen" w:cs="Calibri"/>
                <w:b/>
                <w:szCs w:val="20"/>
                <w:lang w:val="en-US"/>
              </w:rPr>
              <w:t xml:space="preserve">Internal Auditor </w:t>
            </w:r>
            <w:r w:rsidRPr="00417610">
              <w:rPr>
                <w:rFonts w:ascii="Sylfaen" w:hAnsi="Sylfaen" w:cs="Calibri"/>
                <w:b/>
                <w:szCs w:val="20"/>
              </w:rPr>
              <w:t>(</w:t>
            </w:r>
            <w:proofErr w:type="spellStart"/>
            <w:r w:rsidRPr="00417610">
              <w:rPr>
                <w:rFonts w:ascii="Sylfaen" w:hAnsi="Sylfaen" w:cs="Calibri"/>
                <w:b/>
                <w:i/>
                <w:iCs/>
                <w:szCs w:val="20"/>
              </w:rPr>
              <w:t>part</w:t>
            </w:r>
            <w:proofErr w:type="spellEnd"/>
            <w:r w:rsidRPr="00417610">
              <w:rPr>
                <w:rFonts w:ascii="Sylfaen" w:hAnsi="Sylfaen" w:cs="Calibri"/>
                <w:b/>
                <w:i/>
                <w:iCs/>
                <w:szCs w:val="20"/>
              </w:rPr>
              <w:t xml:space="preserve"> </w:t>
            </w:r>
            <w:proofErr w:type="spellStart"/>
            <w:r w:rsidRPr="00417610">
              <w:rPr>
                <w:rFonts w:ascii="Sylfaen" w:hAnsi="Sylfaen" w:cs="Calibri"/>
                <w:b/>
                <w:i/>
                <w:iCs/>
                <w:szCs w:val="20"/>
              </w:rPr>
              <w:t>time</w:t>
            </w:r>
            <w:proofErr w:type="spellEnd"/>
            <w:r w:rsidRPr="00417610">
              <w:rPr>
                <w:rFonts w:ascii="Sylfaen" w:hAnsi="Sylfaen" w:cs="Calibri"/>
                <w:b/>
                <w:szCs w:val="20"/>
              </w:rPr>
              <w:t>)</w:t>
            </w:r>
          </w:p>
        </w:tc>
      </w:tr>
      <w:tr w:rsidR="002855D4" w:rsidRPr="00417610" w:rsidTr="00DE0D80">
        <w:trPr>
          <w:trHeight w:val="403"/>
          <w:jc w:val="center"/>
        </w:trPr>
        <w:tc>
          <w:tcPr>
            <w:tcW w:w="2245" w:type="dxa"/>
            <w:gridSpan w:val="3"/>
            <w:tcBorders>
              <w:top w:val="outset" w:sz="6" w:space="0" w:color="auto"/>
              <w:left w:val="single" w:sz="4" w:space="0" w:color="auto"/>
              <w:bottom w:val="outset" w:sz="6" w:space="0" w:color="auto"/>
              <w:right w:val="nil"/>
            </w:tcBorders>
            <w:vAlign w:val="center"/>
            <w:hideMark/>
          </w:tcPr>
          <w:p w:rsidR="002855D4" w:rsidRPr="00417610" w:rsidRDefault="002855D4" w:rsidP="00DE0D80">
            <w:pPr>
              <w:ind w:right="-69"/>
              <w:rPr>
                <w:rFonts w:ascii="Sylfaen" w:hAnsi="Sylfaen" w:cs="Calibri"/>
                <w:b/>
                <w:szCs w:val="20"/>
              </w:rPr>
            </w:pPr>
            <w:proofErr w:type="spellStart"/>
            <w:r w:rsidRPr="00417610">
              <w:rPr>
                <w:rFonts w:ascii="Sylfaen" w:hAnsi="Sylfaen" w:cs="Calibri"/>
                <w:b/>
                <w:szCs w:val="20"/>
              </w:rPr>
              <w:t>Division</w:t>
            </w:r>
            <w:proofErr w:type="spellEnd"/>
            <w:r w:rsidRPr="00417610">
              <w:rPr>
                <w:rFonts w:ascii="Sylfaen" w:hAnsi="Sylfaen" w:cs="Calibri"/>
                <w:b/>
                <w:szCs w:val="20"/>
              </w:rPr>
              <w:t>/</w:t>
            </w:r>
            <w:proofErr w:type="spellStart"/>
            <w:r w:rsidRPr="00417610">
              <w:rPr>
                <w:rFonts w:ascii="Sylfaen" w:hAnsi="Sylfaen" w:cs="Calibri"/>
                <w:b/>
                <w:szCs w:val="20"/>
              </w:rPr>
              <w:t>Department</w:t>
            </w:r>
            <w:proofErr w:type="spellEnd"/>
            <w:r w:rsidRPr="00417610">
              <w:rPr>
                <w:rFonts w:ascii="Sylfaen" w:hAnsi="Sylfaen" w:cs="Calibri"/>
                <w:b/>
                <w:szCs w:val="20"/>
              </w:rPr>
              <w:t>:</w:t>
            </w:r>
          </w:p>
        </w:tc>
        <w:tc>
          <w:tcPr>
            <w:tcW w:w="6588" w:type="dxa"/>
            <w:gridSpan w:val="4"/>
            <w:tcBorders>
              <w:top w:val="outset" w:sz="6" w:space="0" w:color="auto"/>
              <w:left w:val="nil"/>
              <w:bottom w:val="outset" w:sz="6" w:space="0" w:color="auto"/>
              <w:right w:val="single" w:sz="4" w:space="0" w:color="auto"/>
            </w:tcBorders>
            <w:vAlign w:val="center"/>
          </w:tcPr>
          <w:p w:rsidR="002855D4" w:rsidRPr="00417610" w:rsidRDefault="002855D4" w:rsidP="00DE0D80">
            <w:pPr>
              <w:rPr>
                <w:rFonts w:ascii="Sylfaen" w:hAnsi="Sylfaen" w:cs="Calibri"/>
                <w:szCs w:val="20"/>
              </w:rPr>
            </w:pPr>
            <w:r w:rsidRPr="00417610">
              <w:rPr>
                <w:rFonts w:ascii="Sylfaen" w:hAnsi="Sylfaen" w:cs="Calibri"/>
                <w:szCs w:val="20"/>
              </w:rPr>
              <w:t xml:space="preserve">RECC </w:t>
            </w:r>
            <w:r w:rsidRPr="00417610">
              <w:rPr>
                <w:rFonts w:ascii="Sylfaen" w:hAnsi="Sylfaen" w:cs="Calibri"/>
                <w:szCs w:val="20"/>
                <w:lang w:val="en-US"/>
              </w:rPr>
              <w:t>Internal Audit</w:t>
            </w:r>
            <w:r w:rsidRPr="00417610">
              <w:rPr>
                <w:rFonts w:ascii="Sylfaen" w:hAnsi="Sylfaen" w:cs="Calibri"/>
                <w:szCs w:val="20"/>
              </w:rPr>
              <w:t xml:space="preserve"> </w:t>
            </w:r>
            <w:proofErr w:type="spellStart"/>
            <w:r w:rsidRPr="00417610">
              <w:rPr>
                <w:rFonts w:ascii="Sylfaen" w:hAnsi="Sylfaen" w:cs="Calibri"/>
                <w:szCs w:val="20"/>
              </w:rPr>
              <w:t>Unit</w:t>
            </w:r>
            <w:proofErr w:type="spellEnd"/>
            <w:r w:rsidRPr="00417610">
              <w:rPr>
                <w:rFonts w:ascii="Sylfaen" w:hAnsi="Sylfaen" w:cs="Calibri"/>
                <w:szCs w:val="20"/>
              </w:rPr>
              <w:t xml:space="preserve"> </w:t>
            </w:r>
          </w:p>
        </w:tc>
      </w:tr>
      <w:tr w:rsidR="002855D4" w:rsidRPr="00417610" w:rsidTr="00DE0D80">
        <w:trPr>
          <w:trHeight w:val="340"/>
          <w:jc w:val="center"/>
        </w:trPr>
        <w:tc>
          <w:tcPr>
            <w:tcW w:w="1705" w:type="dxa"/>
            <w:gridSpan w:val="2"/>
            <w:tcBorders>
              <w:top w:val="outset" w:sz="6" w:space="0" w:color="auto"/>
              <w:left w:val="single" w:sz="4" w:space="0" w:color="auto"/>
              <w:bottom w:val="outset" w:sz="6" w:space="0" w:color="auto"/>
              <w:right w:val="nil"/>
            </w:tcBorders>
            <w:vAlign w:val="center"/>
            <w:hideMark/>
          </w:tcPr>
          <w:p w:rsidR="002855D4" w:rsidRPr="00417610" w:rsidRDefault="002855D4" w:rsidP="00DE0D80">
            <w:pPr>
              <w:rPr>
                <w:rFonts w:ascii="Sylfaen" w:hAnsi="Sylfaen" w:cs="Calibri"/>
                <w:b/>
                <w:szCs w:val="20"/>
              </w:rPr>
            </w:pPr>
            <w:proofErr w:type="spellStart"/>
            <w:r w:rsidRPr="00417610">
              <w:rPr>
                <w:rFonts w:ascii="Sylfaen" w:hAnsi="Sylfaen" w:cs="Calibri"/>
                <w:b/>
                <w:szCs w:val="20"/>
              </w:rPr>
              <w:t>Duty</w:t>
            </w:r>
            <w:proofErr w:type="spellEnd"/>
            <w:r w:rsidRPr="00417610">
              <w:rPr>
                <w:rFonts w:ascii="Sylfaen" w:hAnsi="Sylfaen" w:cs="Calibri"/>
                <w:b/>
                <w:szCs w:val="20"/>
              </w:rPr>
              <w:t xml:space="preserve"> </w:t>
            </w:r>
            <w:proofErr w:type="spellStart"/>
            <w:r w:rsidRPr="00417610">
              <w:rPr>
                <w:rFonts w:ascii="Sylfaen" w:hAnsi="Sylfaen" w:cs="Calibri"/>
                <w:b/>
                <w:szCs w:val="20"/>
              </w:rPr>
              <w:t>Station</w:t>
            </w:r>
            <w:proofErr w:type="spellEnd"/>
            <w:r w:rsidRPr="00417610">
              <w:rPr>
                <w:rFonts w:ascii="Sylfaen" w:hAnsi="Sylfaen" w:cs="Calibri"/>
                <w:b/>
                <w:szCs w:val="20"/>
              </w:rPr>
              <w:t>:</w:t>
            </w:r>
          </w:p>
        </w:tc>
        <w:tc>
          <w:tcPr>
            <w:tcW w:w="7128" w:type="dxa"/>
            <w:gridSpan w:val="5"/>
            <w:tcBorders>
              <w:top w:val="outset" w:sz="6" w:space="0" w:color="auto"/>
              <w:left w:val="nil"/>
              <w:bottom w:val="outset" w:sz="6" w:space="0" w:color="auto"/>
              <w:right w:val="single" w:sz="4" w:space="0" w:color="auto"/>
            </w:tcBorders>
            <w:vAlign w:val="center"/>
          </w:tcPr>
          <w:p w:rsidR="002855D4" w:rsidRPr="00417610" w:rsidRDefault="002855D4" w:rsidP="00DE0D80">
            <w:pPr>
              <w:rPr>
                <w:rFonts w:ascii="Sylfaen" w:hAnsi="Sylfaen" w:cs="Calibri"/>
                <w:szCs w:val="20"/>
              </w:rPr>
            </w:pPr>
            <w:r w:rsidRPr="00417610">
              <w:rPr>
                <w:rFonts w:ascii="Sylfaen" w:hAnsi="Sylfaen" w:cs="Calibri"/>
                <w:szCs w:val="20"/>
                <w:lang w:val="en-US"/>
              </w:rPr>
              <w:t xml:space="preserve">Tbilisi, </w:t>
            </w:r>
            <w:r w:rsidRPr="00417610">
              <w:rPr>
                <w:rFonts w:ascii="Sylfaen" w:hAnsi="Sylfaen" w:cs="Calibri"/>
                <w:szCs w:val="20"/>
              </w:rPr>
              <w:t xml:space="preserve">Georgia </w:t>
            </w:r>
          </w:p>
        </w:tc>
      </w:tr>
      <w:tr w:rsidR="002855D4" w:rsidRPr="00417610" w:rsidTr="00DE0D80">
        <w:trPr>
          <w:trHeight w:val="340"/>
          <w:jc w:val="center"/>
        </w:trPr>
        <w:tc>
          <w:tcPr>
            <w:tcW w:w="3415" w:type="dxa"/>
            <w:gridSpan w:val="4"/>
            <w:tcBorders>
              <w:top w:val="outset" w:sz="6" w:space="0" w:color="auto"/>
              <w:left w:val="single" w:sz="4" w:space="0" w:color="auto"/>
              <w:bottom w:val="outset" w:sz="6" w:space="0" w:color="auto"/>
              <w:right w:val="nil"/>
            </w:tcBorders>
            <w:vAlign w:val="center"/>
            <w:hideMark/>
          </w:tcPr>
          <w:p w:rsidR="002855D4" w:rsidRPr="00417610" w:rsidRDefault="002855D4" w:rsidP="00DE0D80">
            <w:pPr>
              <w:rPr>
                <w:rFonts w:ascii="Sylfaen" w:hAnsi="Sylfaen" w:cs="Calibri"/>
                <w:b/>
                <w:szCs w:val="20"/>
                <w:lang w:val="en-US"/>
              </w:rPr>
            </w:pPr>
            <w:r w:rsidRPr="00417610">
              <w:rPr>
                <w:rFonts w:ascii="Sylfaen" w:hAnsi="Sylfaen" w:cs="Calibri"/>
                <w:b/>
                <w:szCs w:val="20"/>
                <w:lang w:val="en-US"/>
              </w:rPr>
              <w:t>Expected Start Date of Assignment:</w:t>
            </w:r>
          </w:p>
        </w:tc>
        <w:tc>
          <w:tcPr>
            <w:tcW w:w="2691" w:type="dxa"/>
            <w:tcBorders>
              <w:top w:val="outset" w:sz="6" w:space="0" w:color="auto"/>
              <w:left w:val="nil"/>
              <w:bottom w:val="outset" w:sz="6" w:space="0" w:color="auto"/>
              <w:right w:val="nil"/>
            </w:tcBorders>
            <w:vAlign w:val="center"/>
          </w:tcPr>
          <w:p w:rsidR="002855D4" w:rsidRPr="00417610" w:rsidRDefault="002855D4" w:rsidP="00DE0D80">
            <w:pPr>
              <w:rPr>
                <w:rFonts w:ascii="Sylfaen" w:hAnsi="Sylfaen" w:cs="Calibri"/>
                <w:szCs w:val="20"/>
                <w:highlight w:val="yellow"/>
              </w:rPr>
            </w:pPr>
            <w:r w:rsidRPr="004F38DD">
              <w:rPr>
                <w:rFonts w:ascii="Sylfaen" w:hAnsi="Sylfaen" w:cs="Calibri"/>
                <w:szCs w:val="20"/>
                <w:lang w:val="en-US"/>
              </w:rPr>
              <w:t xml:space="preserve"> </w:t>
            </w:r>
            <w:r w:rsidR="00417610" w:rsidRPr="00417610">
              <w:rPr>
                <w:rFonts w:ascii="Sylfaen" w:hAnsi="Sylfaen" w:cs="Calibri"/>
                <w:szCs w:val="20"/>
                <w:lang w:val="en-US"/>
              </w:rPr>
              <w:t xml:space="preserve">April </w:t>
            </w:r>
            <w:r w:rsidRPr="00417610">
              <w:rPr>
                <w:rFonts w:ascii="Sylfaen" w:hAnsi="Sylfaen" w:cs="Calibri"/>
                <w:szCs w:val="20"/>
              </w:rPr>
              <w:t>1, 202</w:t>
            </w:r>
            <w:r w:rsidR="00417610" w:rsidRPr="00417610">
              <w:rPr>
                <w:rFonts w:ascii="Sylfaen" w:hAnsi="Sylfaen" w:cs="Calibri"/>
                <w:szCs w:val="20"/>
                <w:lang w:val="en-US"/>
              </w:rPr>
              <w:t>4</w:t>
            </w:r>
            <w:r w:rsidRPr="00417610">
              <w:rPr>
                <w:rFonts w:ascii="Sylfaen" w:hAnsi="Sylfaen" w:cs="Calibri"/>
                <w:szCs w:val="20"/>
              </w:rPr>
              <w:t xml:space="preserve"> </w:t>
            </w:r>
          </w:p>
        </w:tc>
        <w:tc>
          <w:tcPr>
            <w:tcW w:w="1179" w:type="dxa"/>
            <w:tcBorders>
              <w:top w:val="outset" w:sz="6" w:space="0" w:color="auto"/>
              <w:left w:val="nil"/>
              <w:bottom w:val="outset" w:sz="6" w:space="0" w:color="auto"/>
              <w:right w:val="nil"/>
            </w:tcBorders>
            <w:vAlign w:val="center"/>
            <w:hideMark/>
          </w:tcPr>
          <w:p w:rsidR="002855D4" w:rsidRPr="00417610" w:rsidRDefault="002855D4" w:rsidP="00DE0D80">
            <w:pPr>
              <w:rPr>
                <w:rFonts w:ascii="Sylfaen" w:hAnsi="Sylfaen" w:cs="Calibri"/>
                <w:b/>
                <w:sz w:val="24"/>
                <w:szCs w:val="20"/>
              </w:rPr>
            </w:pPr>
            <w:proofErr w:type="spellStart"/>
            <w:r w:rsidRPr="00417610">
              <w:rPr>
                <w:rFonts w:ascii="Sylfaen" w:hAnsi="Sylfaen" w:cs="Calibri"/>
                <w:b/>
                <w:sz w:val="24"/>
                <w:szCs w:val="20"/>
              </w:rPr>
              <w:t>Duration</w:t>
            </w:r>
            <w:proofErr w:type="spellEnd"/>
            <w:r w:rsidRPr="00417610">
              <w:rPr>
                <w:rFonts w:ascii="Sylfaen" w:hAnsi="Sylfaen" w:cs="Calibri"/>
                <w:b/>
                <w:sz w:val="24"/>
                <w:szCs w:val="20"/>
              </w:rPr>
              <w:t>:</w:t>
            </w:r>
          </w:p>
        </w:tc>
        <w:tc>
          <w:tcPr>
            <w:tcW w:w="1548" w:type="dxa"/>
            <w:tcBorders>
              <w:top w:val="outset" w:sz="6" w:space="0" w:color="auto"/>
              <w:left w:val="nil"/>
              <w:bottom w:val="outset" w:sz="6" w:space="0" w:color="auto"/>
              <w:right w:val="single" w:sz="4" w:space="0" w:color="auto"/>
            </w:tcBorders>
            <w:vAlign w:val="center"/>
          </w:tcPr>
          <w:p w:rsidR="002855D4" w:rsidRPr="00417610" w:rsidRDefault="002855D4" w:rsidP="00DE0D80">
            <w:pPr>
              <w:rPr>
                <w:rFonts w:ascii="Sylfaen" w:hAnsi="Sylfaen" w:cs="Calibri"/>
                <w:szCs w:val="20"/>
                <w:highlight w:val="yellow"/>
                <w:lang w:val="en-US"/>
              </w:rPr>
            </w:pPr>
            <w:r w:rsidRPr="00417610">
              <w:rPr>
                <w:rFonts w:ascii="Sylfaen" w:hAnsi="Sylfaen" w:cs="Calibri"/>
                <w:szCs w:val="20"/>
                <w:lang w:val="en-US"/>
              </w:rPr>
              <w:t xml:space="preserve">Up to </w:t>
            </w:r>
            <w:r w:rsidRPr="00417610">
              <w:rPr>
                <w:rFonts w:ascii="Sylfaen" w:hAnsi="Sylfaen" w:cs="Calibri"/>
                <w:color w:val="000000"/>
                <w:szCs w:val="20"/>
                <w:lang w:val="en-US"/>
              </w:rPr>
              <w:t>1 April 202</w:t>
            </w:r>
            <w:r w:rsidR="00417610" w:rsidRPr="00417610">
              <w:rPr>
                <w:rFonts w:ascii="Sylfaen" w:hAnsi="Sylfaen" w:cs="Calibri"/>
                <w:color w:val="000000"/>
                <w:szCs w:val="20"/>
                <w:lang w:val="en-US"/>
              </w:rPr>
              <w:t>5</w:t>
            </w:r>
          </w:p>
        </w:tc>
      </w:tr>
      <w:tr w:rsidR="002855D4" w:rsidRPr="00417610" w:rsidTr="00DE0D80">
        <w:trPr>
          <w:trHeight w:val="340"/>
          <w:jc w:val="center"/>
        </w:trPr>
        <w:tc>
          <w:tcPr>
            <w:tcW w:w="1255" w:type="dxa"/>
            <w:tcBorders>
              <w:top w:val="outset" w:sz="6" w:space="0" w:color="auto"/>
              <w:left w:val="single" w:sz="4" w:space="0" w:color="auto"/>
              <w:bottom w:val="outset" w:sz="6" w:space="0" w:color="auto"/>
              <w:right w:val="nil"/>
            </w:tcBorders>
            <w:vAlign w:val="center"/>
            <w:hideMark/>
          </w:tcPr>
          <w:p w:rsidR="002855D4" w:rsidRPr="00417610" w:rsidRDefault="002855D4" w:rsidP="00DE0D80">
            <w:pPr>
              <w:rPr>
                <w:rFonts w:ascii="Sylfaen" w:hAnsi="Sylfaen" w:cs="Calibri"/>
                <w:b/>
                <w:szCs w:val="20"/>
              </w:rPr>
            </w:pPr>
            <w:proofErr w:type="spellStart"/>
            <w:r w:rsidRPr="00417610">
              <w:rPr>
                <w:rFonts w:ascii="Sylfaen" w:hAnsi="Sylfaen" w:cs="Calibri"/>
                <w:b/>
                <w:szCs w:val="20"/>
              </w:rPr>
              <w:t>Reports</w:t>
            </w:r>
            <w:proofErr w:type="spellEnd"/>
            <w:r w:rsidRPr="00417610">
              <w:rPr>
                <w:rFonts w:ascii="Sylfaen" w:hAnsi="Sylfaen" w:cs="Calibri"/>
                <w:b/>
                <w:szCs w:val="20"/>
              </w:rPr>
              <w:t xml:space="preserve"> to:</w:t>
            </w:r>
          </w:p>
        </w:tc>
        <w:tc>
          <w:tcPr>
            <w:tcW w:w="4851" w:type="dxa"/>
            <w:gridSpan w:val="4"/>
            <w:tcBorders>
              <w:top w:val="outset" w:sz="6" w:space="0" w:color="auto"/>
              <w:left w:val="nil"/>
              <w:bottom w:val="outset" w:sz="6" w:space="0" w:color="auto"/>
              <w:right w:val="nil"/>
            </w:tcBorders>
            <w:vAlign w:val="center"/>
            <w:hideMark/>
          </w:tcPr>
          <w:p w:rsidR="002855D4" w:rsidRPr="00417610" w:rsidRDefault="002855D4" w:rsidP="00DE0D80">
            <w:pPr>
              <w:rPr>
                <w:rFonts w:ascii="Sylfaen" w:hAnsi="Sylfaen" w:cs="Calibri"/>
                <w:bCs/>
                <w:iCs/>
                <w:szCs w:val="20"/>
                <w:lang w:val="en-US"/>
              </w:rPr>
            </w:pPr>
            <w:r w:rsidRPr="00417610">
              <w:rPr>
                <w:rFonts w:ascii="Sylfaen" w:hAnsi="Sylfaen" w:cs="Calibri"/>
                <w:bCs/>
                <w:iCs/>
                <w:szCs w:val="20"/>
                <w:lang w:val="en-US"/>
              </w:rPr>
              <w:t>Supervisory Board of RECC</w:t>
            </w:r>
          </w:p>
          <w:p w:rsidR="002855D4" w:rsidRPr="00417610" w:rsidRDefault="002855D4" w:rsidP="00DE0D80">
            <w:pPr>
              <w:rPr>
                <w:rFonts w:ascii="Sylfaen" w:hAnsi="Sylfaen" w:cs="Calibri"/>
                <w:bCs/>
                <w:iCs/>
                <w:szCs w:val="20"/>
                <w:lang w:val="en-US"/>
              </w:rPr>
            </w:pPr>
          </w:p>
        </w:tc>
        <w:tc>
          <w:tcPr>
            <w:tcW w:w="2727" w:type="dxa"/>
            <w:gridSpan w:val="2"/>
            <w:tcBorders>
              <w:top w:val="outset" w:sz="6" w:space="0" w:color="auto"/>
              <w:left w:val="nil"/>
              <w:bottom w:val="outset" w:sz="6" w:space="0" w:color="auto"/>
              <w:right w:val="single" w:sz="4" w:space="0" w:color="auto"/>
            </w:tcBorders>
            <w:vAlign w:val="center"/>
            <w:hideMark/>
          </w:tcPr>
          <w:p w:rsidR="002855D4" w:rsidRPr="00417610" w:rsidRDefault="002855D4" w:rsidP="002855D4">
            <w:pPr>
              <w:rPr>
                <w:rFonts w:ascii="Sylfaen" w:hAnsi="Sylfaen" w:cs="Calibri"/>
                <w:sz w:val="20"/>
                <w:szCs w:val="20"/>
              </w:rPr>
            </w:pPr>
          </w:p>
        </w:tc>
      </w:tr>
      <w:tr w:rsidR="002855D4" w:rsidRPr="00540093" w:rsidTr="00A976A9">
        <w:trPr>
          <w:trHeight w:val="340"/>
          <w:jc w:val="center"/>
        </w:trPr>
        <w:tc>
          <w:tcPr>
            <w:tcW w:w="8833" w:type="dxa"/>
            <w:gridSpan w:val="7"/>
            <w:tcBorders>
              <w:top w:val="outset" w:sz="6" w:space="0" w:color="auto"/>
              <w:left w:val="single" w:sz="4" w:space="0" w:color="auto"/>
              <w:bottom w:val="outset" w:sz="6" w:space="0" w:color="auto"/>
              <w:right w:val="single" w:sz="4" w:space="0" w:color="auto"/>
            </w:tcBorders>
            <w:vAlign w:val="center"/>
          </w:tcPr>
          <w:p w:rsidR="002855D4" w:rsidRDefault="002855D4" w:rsidP="00DE0D80">
            <w:pPr>
              <w:rPr>
                <w:rFonts w:ascii="Sylfaen" w:hAnsi="Sylfaen"/>
                <w:b/>
                <w:lang w:val="en-US"/>
              </w:rPr>
            </w:pPr>
            <w:r w:rsidRPr="00417610">
              <w:rPr>
                <w:rFonts w:ascii="Sylfaen" w:hAnsi="Sylfaen"/>
                <w:b/>
                <w:lang w:val="en-US"/>
              </w:rPr>
              <w:t>General Description of task(s) and objectives to be achieved</w:t>
            </w:r>
          </w:p>
          <w:p w:rsidR="00417610" w:rsidRPr="00417610" w:rsidRDefault="00417610" w:rsidP="00DE0D80">
            <w:pPr>
              <w:rPr>
                <w:rFonts w:ascii="Sylfaen" w:hAnsi="Sylfaen"/>
                <w:b/>
                <w:lang w:val="en-US"/>
              </w:rPr>
            </w:pPr>
          </w:p>
          <w:p w:rsidR="002855D4" w:rsidRPr="00417610" w:rsidRDefault="002855D4" w:rsidP="00417610">
            <w:pPr>
              <w:jc w:val="both"/>
              <w:rPr>
                <w:rFonts w:ascii="Sylfaen" w:hAnsi="Sylfaen" w:cs="Calibri"/>
                <w:bCs/>
                <w:iCs/>
                <w:sz w:val="20"/>
                <w:szCs w:val="20"/>
                <w:lang w:val="en-US"/>
              </w:rPr>
            </w:pPr>
            <w:r w:rsidRPr="00417610">
              <w:rPr>
                <w:rFonts w:ascii="Sylfaen" w:hAnsi="Sylfaen"/>
                <w:lang w:val="en-US"/>
              </w:rPr>
              <w:t>The Internal Audit Terms of Reference (</w:t>
            </w:r>
            <w:proofErr w:type="spellStart"/>
            <w:r w:rsidRPr="00417610">
              <w:rPr>
                <w:rFonts w:ascii="Sylfaen" w:hAnsi="Sylfaen"/>
                <w:lang w:val="en-US"/>
              </w:rPr>
              <w:t>ToR</w:t>
            </w:r>
            <w:proofErr w:type="spellEnd"/>
            <w:r w:rsidRPr="00417610">
              <w:rPr>
                <w:rFonts w:ascii="Sylfaen" w:hAnsi="Sylfaen"/>
                <w:lang w:val="en-US"/>
              </w:rPr>
              <w:t>) describes the framework within which the Internal Audit Service is delivered. It is intended to act as a guide for directors and staff throughout the operating activity.</w:t>
            </w:r>
          </w:p>
          <w:p w:rsidR="002855D4" w:rsidRPr="00417610" w:rsidRDefault="002855D4" w:rsidP="00417610">
            <w:pPr>
              <w:jc w:val="both"/>
              <w:rPr>
                <w:rFonts w:ascii="Sylfaen" w:hAnsi="Sylfaen" w:cs="Calibri"/>
                <w:bCs/>
                <w:iCs/>
                <w:sz w:val="20"/>
                <w:szCs w:val="20"/>
                <w:lang w:val="en-US"/>
              </w:rPr>
            </w:pPr>
            <w:r w:rsidRPr="00417610">
              <w:rPr>
                <w:rFonts w:ascii="Sylfaen" w:hAnsi="Sylfaen"/>
                <w:lang w:val="en-US"/>
              </w:rPr>
              <w:t>Internal Auditing is an independent, objective assurance and consulting activity designed to add value and improve an organi</w:t>
            </w:r>
            <w:r w:rsidR="005178AF">
              <w:rPr>
                <w:rFonts w:ascii="Sylfaen" w:hAnsi="Sylfaen"/>
                <w:lang w:val="en-US"/>
              </w:rPr>
              <w:t>z</w:t>
            </w:r>
            <w:r w:rsidRPr="00417610">
              <w:rPr>
                <w:rFonts w:ascii="Sylfaen" w:hAnsi="Sylfaen"/>
                <w:lang w:val="en-US"/>
              </w:rPr>
              <w:t>ation’s operations. It helps an organi</w:t>
            </w:r>
            <w:r w:rsidR="005178AF">
              <w:rPr>
                <w:rFonts w:ascii="Sylfaen" w:hAnsi="Sylfaen"/>
                <w:lang w:val="en-US"/>
              </w:rPr>
              <w:t>z</w:t>
            </w:r>
            <w:r w:rsidRPr="00417610">
              <w:rPr>
                <w:rFonts w:ascii="Sylfaen" w:hAnsi="Sylfaen"/>
                <w:lang w:val="en-US"/>
              </w:rPr>
              <w:t>ation achieve its objectives by bringing a systematic, disciplined approach to evaluate and improve the effectiveness of risk management, control and governance processes</w:t>
            </w:r>
          </w:p>
        </w:tc>
      </w:tr>
      <w:tr w:rsidR="002855D4" w:rsidRPr="00540093" w:rsidTr="00B4199E">
        <w:trPr>
          <w:trHeight w:val="340"/>
          <w:jc w:val="center"/>
        </w:trPr>
        <w:tc>
          <w:tcPr>
            <w:tcW w:w="8833" w:type="dxa"/>
            <w:gridSpan w:val="7"/>
            <w:tcBorders>
              <w:top w:val="outset" w:sz="6" w:space="0" w:color="auto"/>
              <w:left w:val="single" w:sz="4" w:space="0" w:color="auto"/>
              <w:bottom w:val="outset" w:sz="6" w:space="0" w:color="auto"/>
              <w:right w:val="single" w:sz="4" w:space="0" w:color="auto"/>
            </w:tcBorders>
            <w:vAlign w:val="center"/>
          </w:tcPr>
          <w:p w:rsidR="002855D4" w:rsidRDefault="002855D4" w:rsidP="002855D4">
            <w:pPr>
              <w:rPr>
                <w:rFonts w:ascii="Sylfaen" w:hAnsi="Sylfaen" w:cs="Calibri"/>
                <w:b/>
                <w:sz w:val="24"/>
                <w:szCs w:val="20"/>
                <w:lang w:val="en-US"/>
              </w:rPr>
            </w:pPr>
            <w:r w:rsidRPr="00417610">
              <w:rPr>
                <w:rFonts w:ascii="Sylfaen" w:hAnsi="Sylfaen" w:cs="Calibri"/>
                <w:b/>
                <w:sz w:val="24"/>
                <w:szCs w:val="20"/>
                <w:lang w:val="en-US"/>
              </w:rPr>
              <w:t>Specific objective of the assignment</w:t>
            </w:r>
          </w:p>
          <w:p w:rsidR="00417610" w:rsidRPr="00417610" w:rsidRDefault="00417610" w:rsidP="002855D4">
            <w:pPr>
              <w:rPr>
                <w:rFonts w:ascii="Sylfaen" w:hAnsi="Sylfaen" w:cs="Calibri"/>
                <w:b/>
                <w:sz w:val="24"/>
                <w:szCs w:val="20"/>
                <w:lang w:val="en-US"/>
              </w:rPr>
            </w:pPr>
          </w:p>
          <w:p w:rsidR="002855D4" w:rsidRPr="00417610" w:rsidRDefault="002855D4" w:rsidP="00417610">
            <w:pPr>
              <w:jc w:val="both"/>
              <w:rPr>
                <w:rFonts w:ascii="Sylfaen" w:hAnsi="Sylfaen" w:cs="Calibri"/>
                <w:sz w:val="20"/>
                <w:szCs w:val="20"/>
                <w:lang w:val="en-US"/>
              </w:rPr>
            </w:pPr>
            <w:r w:rsidRPr="00417610">
              <w:rPr>
                <w:rFonts w:ascii="Sylfaen" w:hAnsi="Sylfaen"/>
                <w:lang w:val="en-US"/>
              </w:rPr>
              <w:t>The primary role of Internal Audit is to help the Board and Executive Management to protect the assets, reputation and sustainability of the organi</w:t>
            </w:r>
            <w:r w:rsidR="005178AF">
              <w:rPr>
                <w:rFonts w:ascii="Sylfaen" w:hAnsi="Sylfaen"/>
                <w:lang w:val="en-US"/>
              </w:rPr>
              <w:t>z</w:t>
            </w:r>
            <w:r w:rsidRPr="00417610">
              <w:rPr>
                <w:rFonts w:ascii="Sylfaen" w:hAnsi="Sylfaen"/>
                <w:lang w:val="en-US"/>
              </w:rPr>
              <w:t xml:space="preserve">ation. </w:t>
            </w:r>
            <w:r w:rsidR="004F38DD">
              <w:rPr>
                <w:rFonts w:ascii="Sylfaen" w:hAnsi="Sylfaen"/>
                <w:lang w:val="en-US"/>
              </w:rPr>
              <w:t xml:space="preserve">In particular, the role includes </w:t>
            </w:r>
            <w:r w:rsidR="00540093">
              <w:rPr>
                <w:rFonts w:ascii="Sylfaen" w:hAnsi="Sylfaen"/>
                <w:lang w:val="en-US"/>
              </w:rPr>
              <w:t xml:space="preserve">upholding </w:t>
            </w:r>
            <w:r w:rsidR="004F38DD">
              <w:rPr>
                <w:rFonts w:ascii="Sylfaen" w:hAnsi="Sylfaen"/>
                <w:lang w:val="en-US"/>
              </w:rPr>
              <w:t xml:space="preserve">effectiveness of donor-funded </w:t>
            </w:r>
            <w:r w:rsidR="00540093">
              <w:rPr>
                <w:rFonts w:ascii="Sylfaen" w:hAnsi="Sylfaen"/>
                <w:lang w:val="en-US"/>
              </w:rPr>
              <w:t>activities</w:t>
            </w:r>
            <w:r w:rsidR="004F38DD">
              <w:rPr>
                <w:rFonts w:ascii="Sylfaen" w:hAnsi="Sylfaen"/>
                <w:lang w:val="en-US"/>
              </w:rPr>
              <w:t xml:space="preserve">.  </w:t>
            </w:r>
            <w:r w:rsidRPr="00417610">
              <w:rPr>
                <w:rFonts w:ascii="Sylfaen" w:hAnsi="Sylfaen"/>
                <w:lang w:val="en-US"/>
              </w:rPr>
              <w:t xml:space="preserve">Internal Audit’s key objective is to provide reliable, valued and timely assessment to the Board and Executive Management on the effectiveness of the system of internal controls mitigating current and evolving key risks and in so doing assist the </w:t>
            </w:r>
            <w:r w:rsidR="00417610">
              <w:rPr>
                <w:rFonts w:ascii="Sylfaen" w:hAnsi="Sylfaen"/>
                <w:lang w:val="en-US"/>
              </w:rPr>
              <w:t>organization</w:t>
            </w:r>
            <w:r w:rsidRPr="00417610">
              <w:rPr>
                <w:rFonts w:ascii="Sylfaen" w:hAnsi="Sylfaen"/>
                <w:lang w:val="en-US"/>
              </w:rPr>
              <w:t xml:space="preserve"> to enhance the effectiveness of the risk management culture within the organi</w:t>
            </w:r>
            <w:r w:rsidR="005178AF">
              <w:rPr>
                <w:rFonts w:ascii="Sylfaen" w:hAnsi="Sylfaen"/>
                <w:lang w:val="en-US"/>
              </w:rPr>
              <w:t>z</w:t>
            </w:r>
            <w:r w:rsidRPr="00417610">
              <w:rPr>
                <w:rFonts w:ascii="Sylfaen" w:hAnsi="Sylfaen"/>
                <w:lang w:val="en-US"/>
              </w:rPr>
              <w:t xml:space="preserve">ation. Internal Audit’s work also helps </w:t>
            </w:r>
            <w:r w:rsidRPr="00417610">
              <w:rPr>
                <w:rFonts w:ascii="Sylfaen" w:hAnsi="Sylfaen"/>
                <w:lang w:val="en-US"/>
              </w:rPr>
              <w:lastRenderedPageBreak/>
              <w:t>the Board and Executive Management assess whether the organi</w:t>
            </w:r>
            <w:r w:rsidR="005178AF">
              <w:rPr>
                <w:rFonts w:ascii="Sylfaen" w:hAnsi="Sylfaen"/>
                <w:lang w:val="en-US"/>
              </w:rPr>
              <w:t>z</w:t>
            </w:r>
            <w:r w:rsidRPr="00417610">
              <w:rPr>
                <w:rFonts w:ascii="Sylfaen" w:hAnsi="Sylfaen"/>
                <w:lang w:val="en-US"/>
              </w:rPr>
              <w:t>ation’s processes and actions are in line with its values, ethics, risk appetite, risk culture and other policies.</w:t>
            </w:r>
          </w:p>
        </w:tc>
      </w:tr>
      <w:tr w:rsidR="002855D4" w:rsidRPr="00540093" w:rsidTr="00513EC6">
        <w:trPr>
          <w:trHeight w:val="340"/>
          <w:jc w:val="center"/>
        </w:trPr>
        <w:tc>
          <w:tcPr>
            <w:tcW w:w="8833" w:type="dxa"/>
            <w:gridSpan w:val="7"/>
            <w:tcBorders>
              <w:top w:val="outset" w:sz="6" w:space="0" w:color="auto"/>
              <w:left w:val="single" w:sz="4" w:space="0" w:color="auto"/>
              <w:bottom w:val="outset" w:sz="6" w:space="0" w:color="auto"/>
              <w:right w:val="single" w:sz="4" w:space="0" w:color="auto"/>
            </w:tcBorders>
            <w:vAlign w:val="center"/>
          </w:tcPr>
          <w:p w:rsidR="002855D4" w:rsidRPr="00417610" w:rsidRDefault="002855D4" w:rsidP="00417610">
            <w:pPr>
              <w:pStyle w:val="Text"/>
              <w:ind w:right="231"/>
              <w:rPr>
                <w:rFonts w:ascii="Sylfaen" w:hAnsi="Sylfaen" w:cs="Calibri"/>
                <w:b/>
                <w:bCs/>
                <w:sz w:val="24"/>
                <w:szCs w:val="20"/>
                <w:lang w:val="en-GB"/>
              </w:rPr>
            </w:pPr>
            <w:r w:rsidRPr="00417610">
              <w:rPr>
                <w:rFonts w:ascii="Sylfaen" w:hAnsi="Sylfaen" w:cs="Calibri"/>
                <w:b/>
                <w:bCs/>
                <w:sz w:val="24"/>
                <w:szCs w:val="20"/>
                <w:lang w:val="en-GB"/>
              </w:rPr>
              <w:lastRenderedPageBreak/>
              <w:t>Duties, Responsibilities and Scope of Work</w:t>
            </w:r>
          </w:p>
          <w:p w:rsidR="002855D4" w:rsidRPr="00417610" w:rsidRDefault="002855D4" w:rsidP="00417610">
            <w:pPr>
              <w:jc w:val="both"/>
              <w:rPr>
                <w:rFonts w:ascii="Sylfaen" w:hAnsi="Sylfaen"/>
                <w:lang w:val="en-US"/>
              </w:rPr>
            </w:pPr>
            <w:r w:rsidRPr="00417610">
              <w:rPr>
                <w:rFonts w:ascii="Sylfaen" w:hAnsi="Sylfaen"/>
                <w:lang w:val="en-US"/>
              </w:rPr>
              <w:t xml:space="preserve">Internal Audit provides independent, objective assurance to the Board through the Audit Committee and the Executive. This helps to ensure that adequate, effective and sustainable control processes are in operation to manage all material risks across the </w:t>
            </w:r>
            <w:r w:rsidR="00417610">
              <w:rPr>
                <w:rFonts w:ascii="Sylfaen" w:hAnsi="Sylfaen"/>
                <w:lang w:val="en-US"/>
              </w:rPr>
              <w:t>organization</w:t>
            </w:r>
            <w:r w:rsidRPr="00417610">
              <w:rPr>
                <w:rFonts w:ascii="Sylfaen" w:hAnsi="Sylfaen"/>
                <w:lang w:val="en-US"/>
              </w:rPr>
              <w:t xml:space="preserve"> and contributes to the continuous improvement of the risk management and control process.</w:t>
            </w:r>
          </w:p>
          <w:p w:rsidR="00417610" w:rsidRPr="00417610" w:rsidRDefault="002855D4" w:rsidP="00417610">
            <w:pPr>
              <w:jc w:val="both"/>
              <w:rPr>
                <w:rFonts w:ascii="Sylfaen" w:hAnsi="Sylfaen" w:cs="Calibri"/>
                <w:sz w:val="20"/>
                <w:szCs w:val="20"/>
                <w:lang w:val="en-US"/>
              </w:rPr>
            </w:pPr>
            <w:r w:rsidRPr="004F38DD">
              <w:rPr>
                <w:rFonts w:ascii="Sylfaen" w:hAnsi="Sylfaen"/>
                <w:lang w:val="en-US"/>
              </w:rPr>
              <w:t xml:space="preserve">Internal Audit’s scope is unrestricted.  </w:t>
            </w:r>
            <w:r w:rsidRPr="00417610">
              <w:rPr>
                <w:rFonts w:ascii="Sylfaen" w:hAnsi="Sylfaen"/>
                <w:lang w:val="en-US"/>
              </w:rPr>
              <w:t xml:space="preserve">All activities of </w:t>
            </w:r>
            <w:r w:rsidR="00417610">
              <w:rPr>
                <w:rFonts w:ascii="Sylfaen" w:hAnsi="Sylfaen"/>
                <w:lang w:val="en-US"/>
              </w:rPr>
              <w:t>organization</w:t>
            </w:r>
            <w:r w:rsidRPr="00417610">
              <w:rPr>
                <w:rFonts w:ascii="Sylfaen" w:hAnsi="Sylfaen"/>
                <w:lang w:val="en-US"/>
              </w:rPr>
              <w:t xml:space="preserve"> are included in the scope of Internal Audit’s responsibility. </w:t>
            </w:r>
          </w:p>
          <w:p w:rsidR="002855D4" w:rsidRPr="00417610" w:rsidRDefault="002855D4" w:rsidP="00417610">
            <w:pPr>
              <w:jc w:val="both"/>
              <w:rPr>
                <w:rFonts w:ascii="Sylfaen" w:hAnsi="Sylfaen" w:cs="Calibri"/>
                <w:sz w:val="20"/>
                <w:szCs w:val="20"/>
                <w:lang w:val="en-US"/>
              </w:rPr>
            </w:pPr>
          </w:p>
        </w:tc>
      </w:tr>
      <w:tr w:rsidR="002855D4" w:rsidRPr="00540093" w:rsidTr="00ED71D5">
        <w:trPr>
          <w:trHeight w:val="340"/>
          <w:jc w:val="center"/>
        </w:trPr>
        <w:tc>
          <w:tcPr>
            <w:tcW w:w="8833" w:type="dxa"/>
            <w:gridSpan w:val="7"/>
            <w:tcBorders>
              <w:top w:val="outset" w:sz="6" w:space="0" w:color="auto"/>
              <w:left w:val="single" w:sz="4" w:space="0" w:color="auto"/>
              <w:bottom w:val="outset" w:sz="6" w:space="0" w:color="auto"/>
              <w:right w:val="single" w:sz="4" w:space="0" w:color="auto"/>
            </w:tcBorders>
            <w:vAlign w:val="center"/>
          </w:tcPr>
          <w:p w:rsidR="002855D4" w:rsidRPr="004F38DD" w:rsidRDefault="002855D4" w:rsidP="00417610">
            <w:pPr>
              <w:jc w:val="both"/>
              <w:rPr>
                <w:rFonts w:ascii="Sylfaen" w:hAnsi="Sylfaen"/>
                <w:b/>
                <w:sz w:val="24"/>
                <w:lang w:val="en-US"/>
              </w:rPr>
            </w:pPr>
            <w:r w:rsidRPr="004F38DD">
              <w:rPr>
                <w:rFonts w:ascii="Sylfaen" w:hAnsi="Sylfaen"/>
                <w:b/>
                <w:sz w:val="24"/>
                <w:lang w:val="en-US"/>
              </w:rPr>
              <w:t>Reporting</w:t>
            </w:r>
          </w:p>
          <w:p w:rsidR="00417610" w:rsidRPr="004F38DD" w:rsidRDefault="00417610" w:rsidP="00417610">
            <w:pPr>
              <w:jc w:val="both"/>
              <w:rPr>
                <w:rFonts w:ascii="Sylfaen" w:hAnsi="Sylfaen"/>
                <w:b/>
                <w:lang w:val="en-US"/>
              </w:rPr>
            </w:pPr>
          </w:p>
          <w:p w:rsidR="002855D4" w:rsidRPr="004F38DD" w:rsidRDefault="002855D4" w:rsidP="00417610">
            <w:pPr>
              <w:jc w:val="both"/>
              <w:rPr>
                <w:rFonts w:ascii="Sylfaen" w:hAnsi="Sylfaen"/>
                <w:lang w:val="en-US"/>
              </w:rPr>
            </w:pPr>
            <w:r w:rsidRPr="00417610">
              <w:rPr>
                <w:rFonts w:ascii="Sylfaen" w:hAnsi="Sylfaen"/>
                <w:lang w:val="en-US"/>
              </w:rPr>
              <w:t xml:space="preserve">Internal Audit produces a formal, Annual Opinion on the adequacy, effectiveness and sustainability of the control processes to the Audit Committee for submission to the Board.  </w:t>
            </w:r>
          </w:p>
          <w:p w:rsidR="002855D4" w:rsidRPr="004F38DD" w:rsidRDefault="002855D4" w:rsidP="00417610">
            <w:pPr>
              <w:jc w:val="both"/>
              <w:rPr>
                <w:rFonts w:ascii="Sylfaen" w:hAnsi="Sylfaen"/>
                <w:lang w:val="en-US"/>
              </w:rPr>
            </w:pPr>
          </w:p>
          <w:p w:rsidR="002855D4" w:rsidRPr="004F38DD" w:rsidRDefault="002855D4" w:rsidP="00417610">
            <w:pPr>
              <w:jc w:val="both"/>
              <w:rPr>
                <w:rFonts w:ascii="Sylfaen" w:hAnsi="Sylfaen"/>
                <w:lang w:val="en-US"/>
              </w:rPr>
            </w:pPr>
            <w:r w:rsidRPr="004F38DD">
              <w:rPr>
                <w:rFonts w:ascii="Sylfaen" w:hAnsi="Sylfaen"/>
                <w:lang w:val="en-US"/>
              </w:rPr>
              <w:t xml:space="preserve">To provide this Opinion, Internal Audit: </w:t>
            </w:r>
          </w:p>
          <w:p w:rsidR="002855D4" w:rsidRPr="004F38DD" w:rsidRDefault="002855D4" w:rsidP="00417610">
            <w:pPr>
              <w:jc w:val="both"/>
              <w:rPr>
                <w:rFonts w:ascii="Sylfaen" w:hAnsi="Sylfaen"/>
                <w:lang w:val="en-US"/>
              </w:rPr>
            </w:pPr>
          </w:p>
          <w:p w:rsidR="002855D4" w:rsidRPr="00417610" w:rsidRDefault="002855D4" w:rsidP="00417610">
            <w:pPr>
              <w:jc w:val="both"/>
              <w:rPr>
                <w:rFonts w:ascii="Sylfaen" w:hAnsi="Sylfaen"/>
                <w:lang w:val="en-US"/>
              </w:rPr>
            </w:pPr>
            <w:r w:rsidRPr="00417610">
              <w:rPr>
                <w:rFonts w:ascii="Sylfaen" w:hAnsi="Sylfaen"/>
                <w:lang w:val="en-US"/>
              </w:rPr>
              <w:t xml:space="preserve">1. Determines Audit Needs by reference to the </w:t>
            </w:r>
            <w:r w:rsidR="00417610">
              <w:rPr>
                <w:rFonts w:ascii="Sylfaen" w:hAnsi="Sylfaen"/>
                <w:lang w:val="en-US"/>
              </w:rPr>
              <w:t>organization’s</w:t>
            </w:r>
            <w:r w:rsidRPr="00417610">
              <w:rPr>
                <w:rFonts w:ascii="Sylfaen" w:hAnsi="Sylfaen"/>
                <w:lang w:val="en-US"/>
              </w:rPr>
              <w:t xml:space="preserve"> Strategic Objective</w:t>
            </w:r>
            <w:r w:rsidR="00417610">
              <w:rPr>
                <w:rFonts w:ascii="Sylfaen" w:hAnsi="Sylfaen"/>
                <w:lang w:val="en-US"/>
              </w:rPr>
              <w:t>s</w:t>
            </w:r>
            <w:r w:rsidRPr="00417610">
              <w:rPr>
                <w:rFonts w:ascii="Sylfaen" w:hAnsi="Sylfaen"/>
                <w:lang w:val="en-US"/>
              </w:rPr>
              <w:t xml:space="preserve">; </w:t>
            </w:r>
          </w:p>
          <w:p w:rsidR="002855D4" w:rsidRPr="004F38DD" w:rsidRDefault="002855D4" w:rsidP="00417610">
            <w:pPr>
              <w:jc w:val="both"/>
              <w:rPr>
                <w:rFonts w:ascii="Sylfaen" w:hAnsi="Sylfaen"/>
                <w:lang w:val="en-US"/>
              </w:rPr>
            </w:pPr>
            <w:r w:rsidRPr="004F38DD">
              <w:rPr>
                <w:rFonts w:ascii="Sylfaen" w:hAnsi="Sylfaen"/>
                <w:lang w:val="en-US"/>
              </w:rPr>
              <w:t xml:space="preserve">2. Identifies and assesses the risks around those processes which operate to achieve the objectives; </w:t>
            </w:r>
          </w:p>
          <w:p w:rsidR="002855D4" w:rsidRPr="00417610" w:rsidRDefault="002855D4" w:rsidP="00417610">
            <w:pPr>
              <w:jc w:val="both"/>
              <w:rPr>
                <w:rFonts w:ascii="Sylfaen" w:hAnsi="Sylfaen"/>
                <w:lang w:val="en-US"/>
              </w:rPr>
            </w:pPr>
            <w:r w:rsidRPr="00417610">
              <w:rPr>
                <w:rFonts w:ascii="Sylfaen" w:hAnsi="Sylfaen"/>
                <w:lang w:val="en-US"/>
              </w:rPr>
              <w:t xml:space="preserve">3. Evaluates the adequacy, effectiveness and sustainability of controls, both financial and non-financial, around those points in the processes which, were they to fail, would have a material impact on the </w:t>
            </w:r>
            <w:r w:rsidR="00417610">
              <w:rPr>
                <w:rFonts w:ascii="Sylfaen" w:hAnsi="Sylfaen"/>
                <w:lang w:val="en-US"/>
              </w:rPr>
              <w:t>organization</w:t>
            </w:r>
            <w:r w:rsidRPr="00417610">
              <w:rPr>
                <w:rFonts w:ascii="Sylfaen" w:hAnsi="Sylfaen"/>
                <w:lang w:val="en-US"/>
              </w:rPr>
              <w:t xml:space="preserve">; </w:t>
            </w:r>
          </w:p>
          <w:p w:rsidR="002855D4" w:rsidRPr="004F38DD" w:rsidRDefault="002855D4" w:rsidP="00417610">
            <w:pPr>
              <w:jc w:val="both"/>
              <w:rPr>
                <w:rFonts w:ascii="Sylfaen" w:hAnsi="Sylfaen"/>
                <w:lang w:val="en-US"/>
              </w:rPr>
            </w:pPr>
            <w:r w:rsidRPr="004F38DD">
              <w:rPr>
                <w:rFonts w:ascii="Sylfaen" w:hAnsi="Sylfaen"/>
                <w:lang w:val="en-US"/>
              </w:rPr>
              <w:t xml:space="preserve">4. Reviews the adequacy and effectiveness of the control processes in place covering significant change projects and, based on an assessment of risk, reviews the adequacy of the underlying control framework being implemented; </w:t>
            </w:r>
          </w:p>
          <w:p w:rsidR="002855D4" w:rsidRPr="00417610" w:rsidRDefault="002855D4" w:rsidP="00417610">
            <w:pPr>
              <w:jc w:val="both"/>
              <w:rPr>
                <w:rFonts w:ascii="Sylfaen" w:hAnsi="Sylfaen"/>
                <w:lang w:val="en-US"/>
              </w:rPr>
            </w:pPr>
            <w:r w:rsidRPr="00417610">
              <w:rPr>
                <w:rFonts w:ascii="Sylfaen" w:hAnsi="Sylfaen"/>
                <w:lang w:val="en-US"/>
              </w:rPr>
              <w:t xml:space="preserve">5. Considers the controls that Management have in place over key outsourced relationships, and performs assurance activities at those third parties as appropriate; </w:t>
            </w:r>
          </w:p>
          <w:p w:rsidR="002855D4" w:rsidRPr="004F38DD" w:rsidRDefault="002855D4" w:rsidP="00417610">
            <w:pPr>
              <w:jc w:val="both"/>
              <w:rPr>
                <w:rFonts w:ascii="Sylfaen" w:hAnsi="Sylfaen"/>
                <w:lang w:val="en-US"/>
              </w:rPr>
            </w:pPr>
            <w:r w:rsidRPr="004F38DD">
              <w:rPr>
                <w:rFonts w:ascii="Sylfaen" w:hAnsi="Sylfaen"/>
                <w:lang w:val="en-US"/>
              </w:rPr>
              <w:t xml:space="preserve">6. Reviews the appropriateness of Management action in relation to risks where the current mitigation controls are considered to be inadequate; </w:t>
            </w:r>
          </w:p>
          <w:p w:rsidR="002855D4" w:rsidRPr="004F38DD" w:rsidRDefault="002855D4" w:rsidP="00417610">
            <w:pPr>
              <w:jc w:val="both"/>
              <w:rPr>
                <w:rFonts w:ascii="Sylfaen" w:hAnsi="Sylfaen"/>
                <w:lang w:val="en-US"/>
              </w:rPr>
            </w:pPr>
            <w:r w:rsidRPr="004F38DD">
              <w:rPr>
                <w:rFonts w:ascii="Sylfaen" w:hAnsi="Sylfaen"/>
                <w:lang w:val="en-US"/>
              </w:rPr>
              <w:t xml:space="preserve">7. Considers the controls in place to mitigate risks of poor customer outcomes; and </w:t>
            </w:r>
          </w:p>
          <w:p w:rsidR="002855D4" w:rsidRPr="005178AF" w:rsidRDefault="002855D4" w:rsidP="00417610">
            <w:pPr>
              <w:jc w:val="both"/>
              <w:rPr>
                <w:rFonts w:ascii="Sylfaen" w:hAnsi="Sylfaen"/>
                <w:lang w:val="en-US"/>
              </w:rPr>
            </w:pPr>
            <w:r w:rsidRPr="005178AF">
              <w:rPr>
                <w:rFonts w:ascii="Sylfaen" w:hAnsi="Sylfaen"/>
                <w:lang w:val="en-US"/>
              </w:rPr>
              <w:t>8. Considers Management’s reporting on the risk management and control culture of the organi</w:t>
            </w:r>
            <w:r w:rsidR="005178AF">
              <w:rPr>
                <w:rFonts w:ascii="Sylfaen" w:hAnsi="Sylfaen"/>
                <w:lang w:val="en-US"/>
              </w:rPr>
              <w:t>z</w:t>
            </w:r>
            <w:r w:rsidRPr="005178AF">
              <w:rPr>
                <w:rFonts w:ascii="Sylfaen" w:hAnsi="Sylfaen"/>
                <w:lang w:val="en-US"/>
              </w:rPr>
              <w:t>ation.</w:t>
            </w:r>
          </w:p>
          <w:p w:rsidR="002855D4" w:rsidRPr="005178AF" w:rsidRDefault="002855D4" w:rsidP="00417610">
            <w:pPr>
              <w:jc w:val="both"/>
              <w:rPr>
                <w:rFonts w:ascii="Sylfaen" w:hAnsi="Sylfaen"/>
                <w:lang w:val="en-US"/>
              </w:rPr>
            </w:pPr>
            <w:r w:rsidRPr="005178AF">
              <w:rPr>
                <w:rFonts w:ascii="Sylfaen" w:hAnsi="Sylfaen"/>
                <w:lang w:val="en-US"/>
              </w:rPr>
              <w:t xml:space="preserve"> </w:t>
            </w:r>
          </w:p>
          <w:p w:rsidR="002855D4" w:rsidRPr="004F38DD" w:rsidRDefault="002855D4" w:rsidP="00417610">
            <w:pPr>
              <w:jc w:val="both"/>
              <w:rPr>
                <w:rFonts w:ascii="Sylfaen" w:hAnsi="Sylfaen"/>
                <w:lang w:val="en-US"/>
              </w:rPr>
            </w:pPr>
            <w:r w:rsidRPr="004F38DD">
              <w:rPr>
                <w:rFonts w:ascii="Sylfaen" w:hAnsi="Sylfaen"/>
                <w:lang w:val="en-US"/>
              </w:rPr>
              <w:t>As with all risk types, assessment of internal controls to mitigate fraud risk are included within Internal Audit's scope.  Therefore, Internal Audit procedures are designed with fraud risk in mind, but should not be relied upon to detect fraud; it is Management’s responsibility to design systems of control to prevent and detect fraud.</w:t>
            </w:r>
          </w:p>
          <w:p w:rsidR="002855D4" w:rsidRPr="00417610" w:rsidRDefault="002855D4" w:rsidP="00417610">
            <w:pPr>
              <w:jc w:val="both"/>
              <w:rPr>
                <w:rFonts w:ascii="Sylfaen" w:hAnsi="Sylfaen" w:cs="Calibri"/>
                <w:sz w:val="20"/>
                <w:szCs w:val="20"/>
                <w:lang w:val="en-US"/>
              </w:rPr>
            </w:pPr>
          </w:p>
          <w:p w:rsidR="002855D4" w:rsidRPr="00417610" w:rsidRDefault="002855D4" w:rsidP="00417610">
            <w:pPr>
              <w:jc w:val="both"/>
              <w:rPr>
                <w:rFonts w:ascii="Sylfaen" w:hAnsi="Sylfaen"/>
                <w:lang w:val="en-US"/>
              </w:rPr>
            </w:pPr>
            <w:r w:rsidRPr="00417610">
              <w:rPr>
                <w:rFonts w:ascii="Sylfaen" w:hAnsi="Sylfaen"/>
                <w:lang w:val="en-US"/>
              </w:rPr>
              <w:t>Internal Audit prepares an Annual Audit Plan that is approved by the Audit Committee. This Plan is flexible in so far as it is updated to reflect any changes to the organi</w:t>
            </w:r>
            <w:r w:rsidR="005178AF">
              <w:rPr>
                <w:rFonts w:ascii="Sylfaen" w:hAnsi="Sylfaen"/>
                <w:lang w:val="en-US"/>
              </w:rPr>
              <w:t>z</w:t>
            </w:r>
            <w:r w:rsidRPr="00417610">
              <w:rPr>
                <w:rFonts w:ascii="Sylfaen" w:hAnsi="Sylfaen"/>
                <w:lang w:val="en-US"/>
              </w:rPr>
              <w:t xml:space="preserve">ation’s </w:t>
            </w:r>
            <w:r w:rsidRPr="00417610">
              <w:rPr>
                <w:rFonts w:ascii="Sylfaen" w:hAnsi="Sylfaen"/>
                <w:lang w:val="en-US"/>
              </w:rPr>
              <w:lastRenderedPageBreak/>
              <w:t xml:space="preserve">risk profile during the year, and any resultant amendments to the Plan are formally approved by the Audit Committee, which meets at least three times a year. </w:t>
            </w:r>
          </w:p>
          <w:p w:rsidR="002855D4" w:rsidRPr="00417610" w:rsidRDefault="002855D4" w:rsidP="00417610">
            <w:pPr>
              <w:jc w:val="both"/>
              <w:rPr>
                <w:rFonts w:ascii="Sylfaen" w:hAnsi="Sylfaen"/>
                <w:lang w:val="en-US"/>
              </w:rPr>
            </w:pPr>
          </w:p>
          <w:p w:rsidR="002855D4" w:rsidRPr="00417610" w:rsidRDefault="002855D4" w:rsidP="00417610">
            <w:pPr>
              <w:jc w:val="both"/>
              <w:rPr>
                <w:rFonts w:ascii="Sylfaen" w:hAnsi="Sylfaen"/>
                <w:lang w:val="en-US"/>
              </w:rPr>
            </w:pPr>
            <w:r w:rsidRPr="00417610">
              <w:rPr>
                <w:rFonts w:ascii="Sylfaen" w:hAnsi="Sylfaen"/>
                <w:lang w:val="en-US"/>
              </w:rPr>
              <w:t xml:space="preserve">During the year, Internal Audit reports to each Audit Committee on the operation of the control processes and Management’s progress in addressing issues identified. All outstanding issues and their status are reported to the Executive Risk Committee. In addition, every month Internal Audit reports the progress of all Management actions to the individual Directors responsible for resolution via the Monthly Control Report. </w:t>
            </w:r>
          </w:p>
          <w:p w:rsidR="002855D4" w:rsidRPr="00417610" w:rsidRDefault="002855D4" w:rsidP="00417610">
            <w:pPr>
              <w:jc w:val="both"/>
              <w:rPr>
                <w:rFonts w:ascii="Sylfaen" w:hAnsi="Sylfaen"/>
                <w:lang w:val="en-US"/>
              </w:rPr>
            </w:pPr>
          </w:p>
          <w:p w:rsidR="002855D4" w:rsidRPr="00417610" w:rsidRDefault="002855D4" w:rsidP="00417610">
            <w:pPr>
              <w:jc w:val="both"/>
              <w:rPr>
                <w:rFonts w:ascii="Sylfaen" w:hAnsi="Sylfaen" w:cs="Calibri"/>
                <w:sz w:val="20"/>
                <w:szCs w:val="20"/>
                <w:lang w:val="en-US"/>
              </w:rPr>
            </w:pPr>
            <w:r w:rsidRPr="00417610">
              <w:rPr>
                <w:rFonts w:ascii="Sylfaen" w:hAnsi="Sylfaen"/>
                <w:lang w:val="en-US"/>
              </w:rPr>
              <w:t>Reports to the Audit Committee are drawn from the results of individual audits in the period. Internal Audit reports the issues emerging from, and the findings of, each audit to relevant Management and obtains their commitment to undertake appropriate remedial action.</w:t>
            </w:r>
          </w:p>
        </w:tc>
      </w:tr>
      <w:tr w:rsidR="00417610" w:rsidRPr="00540093" w:rsidTr="00D106BF">
        <w:trPr>
          <w:trHeight w:val="340"/>
          <w:jc w:val="center"/>
        </w:trPr>
        <w:tc>
          <w:tcPr>
            <w:tcW w:w="8833" w:type="dxa"/>
            <w:gridSpan w:val="7"/>
            <w:tcBorders>
              <w:top w:val="outset" w:sz="6" w:space="0" w:color="auto"/>
              <w:left w:val="single" w:sz="4" w:space="0" w:color="auto"/>
              <w:bottom w:val="outset" w:sz="6" w:space="0" w:color="auto"/>
              <w:right w:val="single" w:sz="4" w:space="0" w:color="auto"/>
            </w:tcBorders>
            <w:vAlign w:val="center"/>
          </w:tcPr>
          <w:p w:rsidR="00417610" w:rsidRPr="004F38DD" w:rsidRDefault="00417610" w:rsidP="002855D4">
            <w:pPr>
              <w:rPr>
                <w:rFonts w:ascii="Sylfaen" w:hAnsi="Sylfaen" w:cs="Calibri"/>
                <w:b/>
                <w:bCs/>
                <w:sz w:val="24"/>
                <w:szCs w:val="20"/>
                <w:lang w:val="en-US"/>
              </w:rPr>
            </w:pPr>
            <w:r w:rsidRPr="004F38DD">
              <w:rPr>
                <w:rFonts w:ascii="Sylfaen" w:hAnsi="Sylfaen" w:cs="Calibri"/>
                <w:b/>
                <w:bCs/>
                <w:sz w:val="24"/>
                <w:szCs w:val="20"/>
                <w:lang w:val="en-US"/>
              </w:rPr>
              <w:lastRenderedPageBreak/>
              <w:t>Independence and Objectivity</w:t>
            </w:r>
          </w:p>
          <w:p w:rsidR="00417610" w:rsidRPr="00417610" w:rsidRDefault="00417610" w:rsidP="00417610">
            <w:pPr>
              <w:jc w:val="both"/>
              <w:rPr>
                <w:rFonts w:ascii="Sylfaen" w:hAnsi="Sylfaen"/>
                <w:lang w:val="en-US"/>
              </w:rPr>
            </w:pPr>
            <w:r w:rsidRPr="00417610">
              <w:rPr>
                <w:rFonts w:ascii="Sylfaen" w:hAnsi="Sylfaen"/>
                <w:lang w:val="en-US"/>
              </w:rPr>
              <w:t xml:space="preserve">Internal Audit remains independent of the activities that it audits to ensure objective judgement.  </w:t>
            </w:r>
          </w:p>
          <w:p w:rsidR="00417610" w:rsidRPr="00417610" w:rsidRDefault="00417610" w:rsidP="00417610">
            <w:pPr>
              <w:jc w:val="both"/>
              <w:rPr>
                <w:rFonts w:ascii="Sylfaen" w:hAnsi="Sylfaen"/>
                <w:lang w:val="en-US"/>
              </w:rPr>
            </w:pPr>
            <w:r w:rsidRPr="00417610">
              <w:rPr>
                <w:rFonts w:ascii="Sylfaen" w:hAnsi="Sylfaen"/>
                <w:lang w:val="en-US"/>
              </w:rPr>
              <w:t xml:space="preserve">The Head of Internal Audit proactively prevents impairments to Internal Audit’s independence and objectivity by: </w:t>
            </w:r>
          </w:p>
          <w:p w:rsidR="00417610" w:rsidRPr="00417610" w:rsidRDefault="00417610" w:rsidP="00417610">
            <w:pPr>
              <w:jc w:val="both"/>
              <w:rPr>
                <w:rFonts w:ascii="Sylfaen" w:hAnsi="Sylfaen"/>
                <w:lang w:val="en-US"/>
              </w:rPr>
            </w:pPr>
            <w:r w:rsidRPr="00417610">
              <w:rPr>
                <w:rFonts w:ascii="Sylfaen" w:hAnsi="Sylfaen"/>
                <w:lang w:val="en-US"/>
              </w:rPr>
              <w:t xml:space="preserve">1. Ensuring the Internal Audit team takes no responsibility for the design and implementation or operation of controls; </w:t>
            </w:r>
          </w:p>
          <w:p w:rsidR="00417610" w:rsidRPr="00417610" w:rsidRDefault="00417610" w:rsidP="00417610">
            <w:pPr>
              <w:jc w:val="both"/>
              <w:rPr>
                <w:rFonts w:ascii="Sylfaen" w:hAnsi="Sylfaen"/>
                <w:lang w:val="en-US"/>
              </w:rPr>
            </w:pPr>
            <w:r w:rsidRPr="00417610">
              <w:rPr>
                <w:rFonts w:ascii="Sylfaen" w:hAnsi="Sylfaen"/>
                <w:lang w:val="en-US"/>
              </w:rPr>
              <w:t xml:space="preserve">2. Audit team members attending, but not being a member of, Executive meetings; </w:t>
            </w:r>
          </w:p>
          <w:p w:rsidR="00417610" w:rsidRPr="00417610" w:rsidRDefault="00417610" w:rsidP="00417610">
            <w:pPr>
              <w:jc w:val="both"/>
              <w:rPr>
                <w:rFonts w:ascii="Sylfaen" w:hAnsi="Sylfaen"/>
                <w:lang w:val="en-US"/>
              </w:rPr>
            </w:pPr>
            <w:r w:rsidRPr="00417610">
              <w:rPr>
                <w:rFonts w:ascii="Sylfaen" w:hAnsi="Sylfaen"/>
                <w:lang w:val="en-US"/>
              </w:rPr>
              <w:t xml:space="preserve">3. Not auditing operations that Internal Audit have been responsible for in the prior 12 months; and </w:t>
            </w:r>
          </w:p>
          <w:p w:rsidR="00417610" w:rsidRPr="00417610" w:rsidRDefault="00417610" w:rsidP="00417610">
            <w:pPr>
              <w:jc w:val="both"/>
              <w:rPr>
                <w:rFonts w:ascii="Sylfaen" w:hAnsi="Sylfaen"/>
                <w:lang w:val="en-US"/>
              </w:rPr>
            </w:pPr>
            <w:r w:rsidRPr="00417610">
              <w:rPr>
                <w:rFonts w:ascii="Sylfaen" w:hAnsi="Sylfaen"/>
                <w:lang w:val="en-US"/>
              </w:rPr>
              <w:t xml:space="preserve">4. Addressing any personal conflicts of interest that might arise through using alternative team members. </w:t>
            </w:r>
          </w:p>
          <w:p w:rsidR="00417610" w:rsidRPr="00417610" w:rsidRDefault="00417610" w:rsidP="00417610">
            <w:pPr>
              <w:jc w:val="both"/>
              <w:rPr>
                <w:rFonts w:ascii="Sylfaen" w:hAnsi="Sylfaen"/>
                <w:lang w:val="en-US"/>
              </w:rPr>
            </w:pPr>
          </w:p>
          <w:p w:rsidR="00417610" w:rsidRPr="00417610" w:rsidRDefault="00417610" w:rsidP="00417610">
            <w:pPr>
              <w:jc w:val="both"/>
              <w:rPr>
                <w:rFonts w:ascii="Sylfaen" w:hAnsi="Sylfaen"/>
                <w:lang w:val="en-US"/>
              </w:rPr>
            </w:pPr>
            <w:r w:rsidRPr="00417610">
              <w:rPr>
                <w:rFonts w:ascii="Sylfaen" w:hAnsi="Sylfaen"/>
                <w:lang w:val="en-US"/>
              </w:rPr>
              <w:t xml:space="preserve">Any events that arise during the delivery of audits which might impair independence or objectivity such as scope limitation, restrictions on access to records or staff, or resource limitations will be reported to the Audit Committee Chairman and subsequently the Audit Committee. </w:t>
            </w:r>
          </w:p>
          <w:p w:rsidR="00417610" w:rsidRPr="00417610" w:rsidRDefault="00417610" w:rsidP="00417610">
            <w:pPr>
              <w:jc w:val="both"/>
              <w:rPr>
                <w:rFonts w:ascii="Sylfaen" w:hAnsi="Sylfaen"/>
                <w:lang w:val="en-US"/>
              </w:rPr>
            </w:pPr>
          </w:p>
          <w:p w:rsidR="00417610" w:rsidRPr="00417610" w:rsidRDefault="00417610" w:rsidP="00417610">
            <w:pPr>
              <w:jc w:val="both"/>
              <w:rPr>
                <w:rFonts w:ascii="Sylfaen" w:hAnsi="Sylfaen"/>
                <w:lang w:val="en-US"/>
              </w:rPr>
            </w:pPr>
            <w:r w:rsidRPr="00417610">
              <w:rPr>
                <w:rFonts w:ascii="Sylfaen" w:hAnsi="Sylfaen"/>
                <w:lang w:val="en-US"/>
              </w:rPr>
              <w:t xml:space="preserve">The Head of Internal Audit has a direct reporting line to the Chairman of the Audit Committee and recourse directly to the </w:t>
            </w:r>
            <w:r w:rsidR="005178AF">
              <w:rPr>
                <w:rFonts w:ascii="Sylfaen" w:hAnsi="Sylfaen"/>
                <w:lang w:val="en-US"/>
              </w:rPr>
              <w:t>Director</w:t>
            </w:r>
            <w:r w:rsidRPr="00417610">
              <w:rPr>
                <w:rFonts w:ascii="Sylfaen" w:hAnsi="Sylfaen"/>
                <w:lang w:val="en-US"/>
              </w:rPr>
              <w:t xml:space="preserve">. </w:t>
            </w:r>
          </w:p>
          <w:p w:rsidR="00417610" w:rsidRPr="00417610" w:rsidRDefault="00417610" w:rsidP="00417610">
            <w:pPr>
              <w:jc w:val="both"/>
              <w:rPr>
                <w:rFonts w:ascii="Sylfaen" w:hAnsi="Sylfaen"/>
                <w:lang w:val="en-US"/>
              </w:rPr>
            </w:pPr>
          </w:p>
          <w:p w:rsidR="00417610" w:rsidRPr="00417610" w:rsidRDefault="00417610" w:rsidP="00417610">
            <w:pPr>
              <w:jc w:val="both"/>
              <w:rPr>
                <w:rFonts w:ascii="Sylfaen" w:hAnsi="Sylfaen"/>
                <w:lang w:val="en-US"/>
              </w:rPr>
            </w:pPr>
            <w:r w:rsidRPr="00417610">
              <w:rPr>
                <w:rFonts w:ascii="Sylfaen" w:hAnsi="Sylfaen"/>
                <w:lang w:val="en-US"/>
              </w:rPr>
              <w:t xml:space="preserve">The appointment or termination of the appointment of the Head of Internal Audit must be approved by the Audit Committee. </w:t>
            </w:r>
          </w:p>
          <w:p w:rsidR="00417610" w:rsidRPr="00417610" w:rsidRDefault="00417610" w:rsidP="00417610">
            <w:pPr>
              <w:jc w:val="both"/>
              <w:rPr>
                <w:rFonts w:ascii="Sylfaen" w:hAnsi="Sylfaen"/>
                <w:lang w:val="en-US"/>
              </w:rPr>
            </w:pPr>
          </w:p>
          <w:p w:rsidR="00417610" w:rsidRPr="00417610" w:rsidRDefault="00417610" w:rsidP="00417610">
            <w:pPr>
              <w:jc w:val="both"/>
              <w:rPr>
                <w:rFonts w:ascii="Sylfaen" w:hAnsi="Sylfaen" w:cs="Calibri"/>
                <w:sz w:val="20"/>
                <w:szCs w:val="20"/>
                <w:lang w:val="en-US"/>
              </w:rPr>
            </w:pPr>
            <w:r w:rsidRPr="00417610">
              <w:rPr>
                <w:rFonts w:ascii="Sylfaen" w:hAnsi="Sylfaen"/>
                <w:lang w:val="en-US"/>
              </w:rPr>
              <w:t>On an annual basis, within the Internal Audit Annual Opinion, the Head of Internal Audit will confirm the ongoing independence and objectivity of the Internal Audit Service.</w:t>
            </w:r>
          </w:p>
        </w:tc>
      </w:tr>
      <w:tr w:rsidR="00417610" w:rsidRPr="00540093" w:rsidTr="006A3F6F">
        <w:trPr>
          <w:trHeight w:val="340"/>
          <w:jc w:val="center"/>
        </w:trPr>
        <w:tc>
          <w:tcPr>
            <w:tcW w:w="8833" w:type="dxa"/>
            <w:gridSpan w:val="7"/>
            <w:tcBorders>
              <w:top w:val="outset" w:sz="6" w:space="0" w:color="auto"/>
              <w:left w:val="single" w:sz="4" w:space="0" w:color="auto"/>
              <w:bottom w:val="outset" w:sz="6" w:space="0" w:color="auto"/>
              <w:right w:val="single" w:sz="4" w:space="0" w:color="auto"/>
            </w:tcBorders>
            <w:vAlign w:val="center"/>
          </w:tcPr>
          <w:p w:rsidR="00417610" w:rsidRPr="004F38DD" w:rsidRDefault="00417610" w:rsidP="00417610">
            <w:pPr>
              <w:jc w:val="both"/>
              <w:rPr>
                <w:rFonts w:ascii="Sylfaen" w:hAnsi="Sylfaen"/>
                <w:b/>
                <w:sz w:val="24"/>
                <w:lang w:val="en-US"/>
              </w:rPr>
            </w:pPr>
            <w:r w:rsidRPr="004F38DD">
              <w:rPr>
                <w:rFonts w:ascii="Sylfaen" w:hAnsi="Sylfaen"/>
                <w:b/>
                <w:sz w:val="24"/>
                <w:lang w:val="en-US"/>
              </w:rPr>
              <w:t xml:space="preserve">Standards </w:t>
            </w:r>
          </w:p>
          <w:p w:rsidR="00417610" w:rsidRPr="005178AF" w:rsidRDefault="00417610" w:rsidP="00417610">
            <w:pPr>
              <w:jc w:val="both"/>
              <w:rPr>
                <w:rFonts w:ascii="Sylfaen" w:hAnsi="Sylfaen"/>
                <w:lang w:val="en-US"/>
              </w:rPr>
            </w:pPr>
            <w:r w:rsidRPr="005178AF">
              <w:rPr>
                <w:rFonts w:ascii="Sylfaen" w:hAnsi="Sylfaen"/>
                <w:lang w:val="en-US"/>
              </w:rPr>
              <w:t>Internal Audit</w:t>
            </w:r>
            <w:r w:rsidR="005178AF">
              <w:rPr>
                <w:rFonts w:ascii="Sylfaen" w:hAnsi="Sylfaen"/>
                <w:lang w:val="en-US"/>
              </w:rPr>
              <w:t>or</w:t>
            </w:r>
            <w:r w:rsidRPr="005178AF">
              <w:rPr>
                <w:rFonts w:ascii="Sylfaen" w:hAnsi="Sylfaen"/>
                <w:lang w:val="en-US"/>
              </w:rPr>
              <w:t xml:space="preserve"> adheres to International Standards on Internal Auditing and to standards of best professional practice as published by the major accountancy bodies.  </w:t>
            </w:r>
          </w:p>
          <w:p w:rsidR="00417610" w:rsidRPr="005178AF" w:rsidRDefault="00417610" w:rsidP="00417610">
            <w:pPr>
              <w:jc w:val="both"/>
              <w:rPr>
                <w:rFonts w:ascii="Sylfaen" w:hAnsi="Sylfaen"/>
                <w:lang w:val="en-US"/>
              </w:rPr>
            </w:pPr>
          </w:p>
        </w:tc>
      </w:tr>
    </w:tbl>
    <w:p w:rsidR="002855D4" w:rsidRPr="00417610" w:rsidRDefault="002855D4">
      <w:pPr>
        <w:rPr>
          <w:rFonts w:ascii="Sylfaen" w:hAnsi="Sylfaen"/>
          <w:lang w:val="en-US"/>
        </w:rPr>
      </w:pPr>
    </w:p>
    <w:sectPr w:rsidR="002855D4" w:rsidRPr="004176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CE"/>
    <w:rsid w:val="00192248"/>
    <w:rsid w:val="00213827"/>
    <w:rsid w:val="002855D4"/>
    <w:rsid w:val="00417610"/>
    <w:rsid w:val="004F38DD"/>
    <w:rsid w:val="005178AF"/>
    <w:rsid w:val="00540093"/>
    <w:rsid w:val="00D7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A162"/>
  <w15:chartTrackingRefBased/>
  <w15:docId w15:val="{F586AB9A-6137-4731-8682-1DCFE7C2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55D4"/>
    <w:rPr>
      <w:rFonts w:eastAsia="Times New Roman" w:cs="Times New Roman"/>
      <w:sz w:val="22"/>
      <w:szCs w:val="24"/>
      <w:lang w:val="ru-RU"/>
    </w:rPr>
  </w:style>
  <w:style w:type="paragraph" w:styleId="Heading1">
    <w:name w:val="heading 1"/>
    <w:basedOn w:val="Normal"/>
    <w:next w:val="Normal"/>
    <w:link w:val="Heading1Char"/>
    <w:qFormat/>
    <w:rsid w:val="002855D4"/>
    <w:pPr>
      <w:keepNext/>
      <w:jc w:val="right"/>
      <w:outlineLvl w:val="0"/>
    </w:pPr>
    <w:rPr>
      <w:rFonts w:ascii="Times New Roman" w:hAnsi="Times New Roman"/>
      <w:b/>
      <w:sz w:val="28"/>
      <w:szCs w:val="20"/>
    </w:rPr>
  </w:style>
  <w:style w:type="paragraph" w:styleId="Heading3">
    <w:name w:val="heading 3"/>
    <w:basedOn w:val="Normal"/>
    <w:next w:val="Normal"/>
    <w:link w:val="Heading3Char"/>
    <w:qFormat/>
    <w:rsid w:val="002855D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55D4"/>
    <w:rPr>
      <w:rFonts w:ascii="Times New Roman" w:eastAsia="Times New Roman" w:hAnsi="Times New Roman" w:cs="Times New Roman"/>
      <w:b/>
      <w:sz w:val="28"/>
      <w:szCs w:val="20"/>
      <w:lang w:val="ru-RU"/>
    </w:rPr>
  </w:style>
  <w:style w:type="character" w:customStyle="1" w:styleId="Heading3Char">
    <w:name w:val="Heading 3 Char"/>
    <w:basedOn w:val="DefaultParagraphFont"/>
    <w:link w:val="Heading3"/>
    <w:rsid w:val="002855D4"/>
    <w:rPr>
      <w:rFonts w:ascii="Cambria" w:eastAsia="Times New Roman" w:hAnsi="Cambria" w:cs="Times New Roman"/>
      <w:b/>
      <w:bCs/>
      <w:sz w:val="26"/>
      <w:szCs w:val="26"/>
      <w:lang w:val="ru-RU"/>
    </w:rPr>
  </w:style>
  <w:style w:type="paragraph" w:styleId="NormalWeb">
    <w:name w:val="Normal (Web)"/>
    <w:basedOn w:val="Normal"/>
    <w:uiPriority w:val="99"/>
    <w:rsid w:val="002855D4"/>
    <w:pPr>
      <w:spacing w:before="100" w:beforeAutospacing="1" w:after="100" w:afterAutospacing="1" w:line="312" w:lineRule="auto"/>
    </w:pPr>
    <w:rPr>
      <w:rFonts w:ascii="Times New Roman" w:hAnsi="Times New Roman"/>
      <w:sz w:val="24"/>
      <w:lang w:val="en-GB" w:eastAsia="en-GB" w:bidi="en-US"/>
    </w:rPr>
  </w:style>
  <w:style w:type="paragraph" w:customStyle="1" w:styleId="Text">
    <w:name w:val="Text"/>
    <w:basedOn w:val="Normal"/>
    <w:rsid w:val="002855D4"/>
    <w:pPr>
      <w:spacing w:before="100" w:after="100" w:line="288" w:lineRule="auto"/>
    </w:pPr>
    <w:rPr>
      <w:rFonts w:ascii="Tahoma" w:hAnsi="Tahoma"/>
      <w:sz w:val="16"/>
      <w:lang w:val="en-US"/>
    </w:rPr>
  </w:style>
  <w:style w:type="paragraph" w:customStyle="1" w:styleId="RequirementsList">
    <w:name w:val="Requirements List"/>
    <w:basedOn w:val="Text"/>
    <w:rsid w:val="002855D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dc:creator>
  <cp:keywords/>
  <dc:description/>
  <cp:lastModifiedBy>RECC</cp:lastModifiedBy>
  <cp:revision>5</cp:revision>
  <dcterms:created xsi:type="dcterms:W3CDTF">2024-03-06T11:56:00Z</dcterms:created>
  <dcterms:modified xsi:type="dcterms:W3CDTF">2024-03-07T12:35:00Z</dcterms:modified>
</cp:coreProperties>
</file>